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88" w:rsidRPr="006F5688" w:rsidRDefault="006F5688">
      <w:pPr>
        <w:rPr>
          <w:b/>
        </w:rPr>
      </w:pPr>
      <w:r w:rsidRPr="006F5688">
        <w:rPr>
          <w:b/>
        </w:rPr>
        <w:t>Landesjugendamt Rheinland</w:t>
      </w:r>
    </w:p>
    <w:p w:rsidR="006F5688" w:rsidRDefault="006F5688">
      <w:pPr>
        <w:rPr>
          <w:b/>
        </w:rPr>
      </w:pPr>
      <w:r w:rsidRPr="006F5688">
        <w:rPr>
          <w:b/>
        </w:rPr>
        <w:t>Landesjugendamt Westfalen</w:t>
      </w:r>
    </w:p>
    <w:p w:rsidR="00AF03F2" w:rsidRDefault="006F5688">
      <w:pPr>
        <w:rPr>
          <w:b/>
        </w:rPr>
      </w:pPr>
      <w:r w:rsidRPr="006F5688">
        <w:rPr>
          <w:b/>
        </w:rPr>
        <w:t>Merkblatt zur</w:t>
      </w:r>
      <w:r w:rsidR="003C19FE">
        <w:rPr>
          <w:b/>
        </w:rPr>
        <w:t xml:space="preserve"> vorgezogenen Antragstellung </w:t>
      </w:r>
      <w:r w:rsidR="008751BF">
        <w:rPr>
          <w:b/>
        </w:rPr>
        <w:t>für Einzelprojekte</w:t>
      </w:r>
      <w:r w:rsidR="002D5A50">
        <w:rPr>
          <w:b/>
        </w:rPr>
        <w:t xml:space="preserve"> der Pos. 2.2 (nur Gedenkstättenfahrten) und 5.2</w:t>
      </w:r>
      <w:r w:rsidR="003C19FE">
        <w:rPr>
          <w:b/>
        </w:rPr>
        <w:t xml:space="preserve"> KJFP NW im Jahr </w:t>
      </w:r>
      <w:r w:rsidR="00F46917">
        <w:rPr>
          <w:b/>
        </w:rPr>
        <w:t>202</w:t>
      </w:r>
      <w:r w:rsidR="00A26DAC">
        <w:rPr>
          <w:b/>
        </w:rPr>
        <w:t>2</w:t>
      </w:r>
      <w:r w:rsidR="00D23700">
        <w:rPr>
          <w:b/>
        </w:rPr>
        <w:t xml:space="preserve">     </w:t>
      </w:r>
    </w:p>
    <w:p w:rsidR="00C93BF7" w:rsidRDefault="00D23700">
      <w:pPr>
        <w:rPr>
          <w:b/>
        </w:rPr>
      </w:pPr>
      <w:r>
        <w:rPr>
          <w:b/>
        </w:rPr>
        <w:t xml:space="preserve">    </w:t>
      </w:r>
    </w:p>
    <w:p w:rsidR="006F5688" w:rsidRDefault="00D23700">
      <w:r>
        <w:rPr>
          <w:b/>
        </w:rPr>
        <w:t xml:space="preserve">    </w:t>
      </w:r>
      <w:r w:rsidR="006F5688">
        <w:rPr>
          <w:b/>
        </w:rPr>
        <w:t xml:space="preserve">                               </w:t>
      </w:r>
      <w:r w:rsidR="006F5688" w:rsidRPr="006F5688">
        <w:rPr>
          <w:b/>
        </w:rPr>
        <w:t>Vorschlag zur Gliederung eines Projektantrags</w:t>
      </w:r>
    </w:p>
    <w:p w:rsidR="006F5688" w:rsidRDefault="006F5688"/>
    <w:p w:rsidR="006F5688" w:rsidRDefault="006F5688">
      <w:r>
        <w:t>Der folgende Gliederungsvorschlag für einen Antrag auf Einzelprojektförderung bietet Ihnen eine mögliche Orientierung. Die vorgeschlagene Antragsgliederung entspricht den Grundprinzipien pädagogischer Planung und Konzeptentwicklung. Dennoch ist sie nicht verbindlich vorgegeben, sondern versteht sich als eine Orientierungshilfe. Wenn Sie Ihr Projekt anders schildern und Ihren Antrag auf andere Weise begründen wollen, können Sie dies selbstverständlich tun.</w:t>
      </w:r>
    </w:p>
    <w:p w:rsidR="006F5688" w:rsidRDefault="006F5688"/>
    <w:p w:rsidR="006F5688" w:rsidRDefault="006F5688">
      <w:pPr>
        <w:rPr>
          <w:b/>
        </w:rPr>
      </w:pPr>
      <w:r>
        <w:rPr>
          <w:b/>
        </w:rPr>
        <w:t xml:space="preserve">                                                    </w:t>
      </w:r>
      <w:r w:rsidRPr="006F5688">
        <w:rPr>
          <w:b/>
        </w:rPr>
        <w:t>Gliederungsvorschlag</w:t>
      </w:r>
    </w:p>
    <w:p w:rsidR="006F5688" w:rsidRDefault="006F5688">
      <w:pPr>
        <w:rPr>
          <w:b/>
        </w:rPr>
      </w:pPr>
    </w:p>
    <w:p w:rsidR="006F5688" w:rsidRDefault="006F5688">
      <w:r>
        <w:rPr>
          <w:b/>
        </w:rPr>
        <w:t xml:space="preserve">      1.  Titel, Inhalt, Zielgruppe</w:t>
      </w:r>
    </w:p>
    <w:p w:rsidR="006F5688" w:rsidRDefault="006F5688">
      <w:r>
        <w:t xml:space="preserve">           Benennen Sie bitte den Titel Ihres Projektes, möglicherweise ein Stichwort zum In-</w:t>
      </w:r>
    </w:p>
    <w:p w:rsidR="006F5688" w:rsidRDefault="006F5688">
      <w:r>
        <w:t xml:space="preserve">           halt und die Zielgruppe.</w:t>
      </w:r>
    </w:p>
    <w:p w:rsidR="006F5688" w:rsidRDefault="006F5688"/>
    <w:p w:rsidR="000108A1" w:rsidRDefault="006F5688">
      <w:r>
        <w:t xml:space="preserve">      </w:t>
      </w:r>
      <w:r w:rsidR="000108A1">
        <w:rPr>
          <w:b/>
        </w:rPr>
        <w:t>2.  Bedarf/Begründung</w:t>
      </w:r>
    </w:p>
    <w:p w:rsidR="006F5688" w:rsidRDefault="006F5688">
      <w:r>
        <w:t xml:space="preserve">           Unter dieser Rubrik sollte geklärt werden, wie der Bedarf, den Sie mit Ihrem Projekt</w:t>
      </w:r>
    </w:p>
    <w:p w:rsidR="006F5688" w:rsidRDefault="006F5688">
      <w:r>
        <w:t xml:space="preserve">           erfüllen wollen, entsteht und begründet wird. Dazu sollten Sie die sozialräumliche</w:t>
      </w:r>
    </w:p>
    <w:p w:rsidR="006F5688" w:rsidRDefault="006F5688">
      <w:r>
        <w:t xml:space="preserve">           Situation des Projektortes der Kinder und Jugendlichen kurz beschreiben. Die Pro-</w:t>
      </w:r>
    </w:p>
    <w:p w:rsidR="006F5688" w:rsidRDefault="006F5688">
      <w:r>
        <w:t xml:space="preserve">           </w:t>
      </w:r>
      <w:proofErr w:type="spellStart"/>
      <w:r>
        <w:t>bleme</w:t>
      </w:r>
      <w:proofErr w:type="spellEnd"/>
      <w:r>
        <w:t xml:space="preserve"> und Potenziale der Kinder und Jugendlichen in ihrer Lebenswelt sollten </w:t>
      </w:r>
      <w:proofErr w:type="spellStart"/>
      <w:r>
        <w:t>erläu</w:t>
      </w:r>
      <w:proofErr w:type="spellEnd"/>
      <w:r>
        <w:t>-</w:t>
      </w:r>
    </w:p>
    <w:p w:rsidR="006F5688" w:rsidRDefault="006F5688">
      <w:r>
        <w:t xml:space="preserve">           </w:t>
      </w:r>
      <w:proofErr w:type="spellStart"/>
      <w:r>
        <w:t>tert</w:t>
      </w:r>
      <w:proofErr w:type="spellEnd"/>
      <w:r>
        <w:t xml:space="preserve"> werden. Bitte werden Sie dabei möglichst konkret und schildern die spezifische</w:t>
      </w:r>
    </w:p>
    <w:p w:rsidR="006F5688" w:rsidRDefault="006F5688">
      <w:r>
        <w:t xml:space="preserve">           Zielgruppe, die Sie erreichen wollen oder mit der Sie schon arbeiten. Allgemeinere</w:t>
      </w:r>
    </w:p>
    <w:p w:rsidR="006F5688" w:rsidRDefault="006F5688">
      <w:r>
        <w:t xml:space="preserve">           theoretische Analysen zur Situation von Jugend bzw. Aufarbeitung von Fachliteratur</w:t>
      </w:r>
    </w:p>
    <w:p w:rsidR="006F5688" w:rsidRDefault="006F5688">
      <w:r>
        <w:t xml:space="preserve">           sind hier weniger hilfreich.</w:t>
      </w:r>
    </w:p>
    <w:p w:rsidR="006F5688" w:rsidRDefault="006F5688">
      <w:r>
        <w:t xml:space="preserve">           Der Bezug zur Jugendhilfeplanung und zur Vernetzung/Kooperation mit anderen </w:t>
      </w:r>
    </w:p>
    <w:p w:rsidR="006F5688" w:rsidRDefault="006F5688">
      <w:r>
        <w:t xml:space="preserve">           Trägern und Institutionen sollte deutlich werden.</w:t>
      </w:r>
    </w:p>
    <w:p w:rsidR="006F5688" w:rsidRDefault="006F5688"/>
    <w:p w:rsidR="006F5688" w:rsidRDefault="006F5688">
      <w:r>
        <w:t xml:space="preserve">       </w:t>
      </w:r>
      <w:r w:rsidRPr="006F5688">
        <w:rPr>
          <w:b/>
        </w:rPr>
        <w:t>3.  Ziele</w:t>
      </w:r>
    </w:p>
    <w:p w:rsidR="006F5688" w:rsidRDefault="006F5688">
      <w:r>
        <w:t xml:space="preserve">            Aus den unter „Bedarf/Begründung“ aufgeführten Problemen und Themenstellungen</w:t>
      </w:r>
    </w:p>
    <w:p w:rsidR="006F5688" w:rsidRDefault="006F5688">
      <w:r>
        <w:t xml:space="preserve">            des beantragten Projektes sollten hier die Ziele des Projektes gefolgert und </w:t>
      </w:r>
      <w:proofErr w:type="spellStart"/>
      <w:r>
        <w:t>darge</w:t>
      </w:r>
      <w:proofErr w:type="spellEnd"/>
      <w:r>
        <w:t>-</w:t>
      </w:r>
    </w:p>
    <w:p w:rsidR="006F5688" w:rsidRDefault="006F5688">
      <w:r>
        <w:t xml:space="preserve">            stellt werden. Wählen Sie Zielformulierungen, die möglichst konkret und </w:t>
      </w:r>
      <w:proofErr w:type="spellStart"/>
      <w:r>
        <w:t>operationali</w:t>
      </w:r>
      <w:proofErr w:type="spellEnd"/>
      <w:r>
        <w:t>-</w:t>
      </w:r>
    </w:p>
    <w:p w:rsidR="006F5688" w:rsidRDefault="006F5688">
      <w:r>
        <w:t xml:space="preserve">            </w:t>
      </w:r>
      <w:proofErr w:type="spellStart"/>
      <w:r>
        <w:t>sierbar</w:t>
      </w:r>
      <w:proofErr w:type="spellEnd"/>
      <w:r>
        <w:t xml:space="preserve"> sind und sich auf die unter „Bedarf/Begründung“ geschilderte Zielgruppe </w:t>
      </w:r>
      <w:proofErr w:type="spellStart"/>
      <w:r>
        <w:t>be</w:t>
      </w:r>
      <w:proofErr w:type="spellEnd"/>
      <w:r>
        <w:t>-</w:t>
      </w:r>
    </w:p>
    <w:p w:rsidR="006F5688" w:rsidRDefault="006F5688">
      <w:r>
        <w:t xml:space="preserve">            ziehen. Wir schlagen Ihnen vor, die Ziele eher greifbar und erfüllbar zu formulieren</w:t>
      </w:r>
    </w:p>
    <w:p w:rsidR="006F5688" w:rsidRDefault="006F5688">
      <w:r>
        <w:t xml:space="preserve">            als allzu weitreichend. (Bedenken Sie auch, dass die Ziele so gestellt werden sollen,</w:t>
      </w:r>
    </w:p>
    <w:p w:rsidR="006F5688" w:rsidRDefault="006F5688">
      <w:r>
        <w:t xml:space="preserve">            dass sie in einer möglichen Evaluation </w:t>
      </w:r>
      <w:proofErr w:type="spellStart"/>
      <w:r>
        <w:t>reflektierbar</w:t>
      </w:r>
      <w:proofErr w:type="spellEnd"/>
      <w:r>
        <w:t xml:space="preserve"> sind.)</w:t>
      </w:r>
    </w:p>
    <w:p w:rsidR="006F5688" w:rsidRDefault="006F5688"/>
    <w:p w:rsidR="006F5688" w:rsidRDefault="006F5688">
      <w:r>
        <w:t xml:space="preserve">       </w:t>
      </w:r>
      <w:r w:rsidRPr="006F5688">
        <w:rPr>
          <w:b/>
        </w:rPr>
        <w:t xml:space="preserve">4. </w:t>
      </w:r>
      <w:r>
        <w:rPr>
          <w:b/>
        </w:rPr>
        <w:t xml:space="preserve"> </w:t>
      </w:r>
      <w:r w:rsidRPr="006F5688">
        <w:rPr>
          <w:b/>
        </w:rPr>
        <w:t>Arbeitsweisen</w:t>
      </w:r>
    </w:p>
    <w:p w:rsidR="006F5688" w:rsidRDefault="006F5688">
      <w:r>
        <w:t xml:space="preserve">            Hierzu gehören eine kurze Schilderung der Inhalte des beabsichtigten Projektes, der</w:t>
      </w:r>
    </w:p>
    <w:p w:rsidR="006F5688" w:rsidRDefault="006F5688">
      <w:r>
        <w:t xml:space="preserve">            geplanten Methoden und der für diese Arbeitsweisen notwendigen </w:t>
      </w:r>
      <w:proofErr w:type="spellStart"/>
      <w:r>
        <w:t>Rahmenbedin</w:t>
      </w:r>
      <w:proofErr w:type="spellEnd"/>
      <w:r>
        <w:t>-</w:t>
      </w:r>
    </w:p>
    <w:p w:rsidR="009E7A38" w:rsidRDefault="006F5688">
      <w:r>
        <w:t xml:space="preserve">            </w:t>
      </w:r>
      <w:proofErr w:type="spellStart"/>
      <w:r>
        <w:t>gungen</w:t>
      </w:r>
      <w:proofErr w:type="spellEnd"/>
      <w:r>
        <w:t xml:space="preserve"> wie Zeiten</w:t>
      </w:r>
      <w:r w:rsidR="009E7A38">
        <w:t xml:space="preserve"> (Anzahl, Dauer und Rhythmus der geplanten Projekttermine)</w:t>
      </w:r>
      <w:r>
        <w:t xml:space="preserve">, </w:t>
      </w:r>
    </w:p>
    <w:p w:rsidR="009E7A38" w:rsidRDefault="009E7A38">
      <w:r>
        <w:t xml:space="preserve">            </w:t>
      </w:r>
      <w:r w:rsidR="006F5688">
        <w:t xml:space="preserve">Personal, Räume, Materialien usw. Unter dieser Rubrik wird insgesamt geschildert, in </w:t>
      </w:r>
    </w:p>
    <w:p w:rsidR="009E7A38" w:rsidRDefault="009E7A38">
      <w:r>
        <w:t xml:space="preserve">            </w:t>
      </w:r>
      <w:r w:rsidR="006F5688">
        <w:t xml:space="preserve">welcher Art und Weise Sie die gesetzten Ziele zu einem konkreten Bedarf </w:t>
      </w:r>
      <w:proofErr w:type="spellStart"/>
      <w:r w:rsidR="006F5688">
        <w:t>pädag</w:t>
      </w:r>
      <w:r>
        <w:t>o</w:t>
      </w:r>
      <w:proofErr w:type="spellEnd"/>
      <w:r>
        <w:t>-</w:t>
      </w:r>
    </w:p>
    <w:p w:rsidR="009E7A38" w:rsidRDefault="009E7A38">
      <w:r>
        <w:t xml:space="preserve">            </w:t>
      </w:r>
      <w:r w:rsidR="006F5688">
        <w:t xml:space="preserve">gisch umsetzen wollen. Auch hier ist es hilfreich, wenn Sie möglichst konkret </w:t>
      </w:r>
      <w:proofErr w:type="spellStart"/>
      <w:r w:rsidR="006F5688">
        <w:t>schi</w:t>
      </w:r>
      <w:r>
        <w:t>l</w:t>
      </w:r>
      <w:proofErr w:type="spellEnd"/>
      <w:r>
        <w:t>-</w:t>
      </w:r>
    </w:p>
    <w:p w:rsidR="009E7A38" w:rsidRDefault="009E7A38">
      <w:r>
        <w:t xml:space="preserve">            </w:t>
      </w:r>
      <w:proofErr w:type="spellStart"/>
      <w:r w:rsidR="006F5688">
        <w:t>dern</w:t>
      </w:r>
      <w:proofErr w:type="spellEnd"/>
      <w:r w:rsidR="006F5688">
        <w:t xml:space="preserve">, was mit den Kindern und Jugendlichen im Projekt tatsächlich geschehen soll, </w:t>
      </w:r>
    </w:p>
    <w:p w:rsidR="009E7A38" w:rsidRDefault="009E7A38">
      <w:r>
        <w:t xml:space="preserve">            </w:t>
      </w:r>
      <w:r w:rsidR="006F5688">
        <w:t>wie gearbeitet wird.</w:t>
      </w:r>
      <w:r>
        <w:t xml:space="preserve"> Bitte geben Sie die geplante Anzahl der teilnehmenden Kinder</w:t>
      </w:r>
    </w:p>
    <w:p w:rsidR="000108A1" w:rsidRDefault="009E7A38">
      <w:pPr>
        <w:rPr>
          <w:b/>
        </w:rPr>
      </w:pPr>
      <w:r>
        <w:t xml:space="preserve">            und Jugendlichen an.</w:t>
      </w:r>
      <w:r w:rsidR="006F5688" w:rsidRPr="006F5688">
        <w:rPr>
          <w:b/>
        </w:rPr>
        <w:t xml:space="preserve">  </w:t>
      </w:r>
    </w:p>
    <w:p w:rsidR="008D0800" w:rsidRDefault="006F5688">
      <w:pPr>
        <w:rPr>
          <w:b/>
        </w:rPr>
      </w:pPr>
      <w:r w:rsidRPr="006F5688">
        <w:rPr>
          <w:b/>
        </w:rPr>
        <w:t xml:space="preserve"> </w:t>
      </w:r>
    </w:p>
    <w:p w:rsidR="000108A1" w:rsidRDefault="003C12B3">
      <w:pPr>
        <w:rPr>
          <w:b/>
        </w:rPr>
      </w:pPr>
      <w:r>
        <w:rPr>
          <w:b/>
        </w:rPr>
        <w:t xml:space="preserve">        </w:t>
      </w:r>
      <w:r w:rsidR="000108A1">
        <w:rPr>
          <w:b/>
        </w:rPr>
        <w:t xml:space="preserve">5. Auswertung </w:t>
      </w:r>
    </w:p>
    <w:p w:rsidR="000108A1" w:rsidRDefault="000108A1">
      <w:r>
        <w:rPr>
          <w:b/>
        </w:rPr>
        <w:t xml:space="preserve">            </w:t>
      </w:r>
      <w:r>
        <w:t>Erläutern Sie hier bitte kurz, wie das geplante Projekt ausgewertet und dokumentiert</w:t>
      </w:r>
    </w:p>
    <w:p w:rsidR="000108A1" w:rsidRDefault="000108A1">
      <w:r>
        <w:t xml:space="preserve">            werden soll.</w:t>
      </w:r>
    </w:p>
    <w:p w:rsidR="000108A1" w:rsidRDefault="000108A1"/>
    <w:p w:rsidR="000108A1" w:rsidRPr="000108A1" w:rsidRDefault="000108A1"/>
    <w:p w:rsidR="008D0800" w:rsidRDefault="008D0800">
      <w:r>
        <w:rPr>
          <w:b/>
        </w:rPr>
        <w:t xml:space="preserve">                                                           Weitere Hinweise</w:t>
      </w:r>
    </w:p>
    <w:p w:rsidR="008D0800" w:rsidRDefault="008D0800"/>
    <w:p w:rsidR="008F1B67" w:rsidRDefault="008F1B67"/>
    <w:p w:rsidR="008D0800" w:rsidRDefault="002D5A50" w:rsidP="002D5A50">
      <w:pPr>
        <w:spacing w:line="260" w:lineRule="exact"/>
      </w:pPr>
      <w:r w:rsidRPr="002D5A50">
        <w:t xml:space="preserve">Den </w:t>
      </w:r>
      <w:r w:rsidR="00162D06" w:rsidRPr="00162D06">
        <w:t xml:space="preserve">Auszug aus den Beurteilungs- und Fördermaßstäben für die Förderung von Projekten im Haushaltsjahr </w:t>
      </w:r>
      <w:r w:rsidR="00F46917">
        <w:t>202</w:t>
      </w:r>
      <w:r w:rsidR="000A688C">
        <w:t>1</w:t>
      </w:r>
      <w:r w:rsidR="00162D06" w:rsidRPr="00162D06">
        <w:t xml:space="preserve"> aus dem Kinder- und Jugendförderplan, Pos. 2.2 (nur Gedenkstättenfahrten) und Pos. 5.2. </w:t>
      </w:r>
      <w:r w:rsidR="00304D46">
        <w:t xml:space="preserve">füge ich bei. </w:t>
      </w:r>
    </w:p>
    <w:p w:rsidR="008F1B67" w:rsidRDefault="008F1B67"/>
    <w:p w:rsidR="008D0800" w:rsidRDefault="008D0800">
      <w:r>
        <w:t>Zu Ihrer Orientierung haben wir nochmals die wichtigsten Bestimmungen bei der Beantragung zusammengestellt:</w:t>
      </w:r>
    </w:p>
    <w:p w:rsidR="008D0800" w:rsidRDefault="008D0800"/>
    <w:p w:rsidR="00F46917" w:rsidRDefault="000A688C" w:rsidP="00EE23B3">
      <w:pPr>
        <w:numPr>
          <w:ilvl w:val="0"/>
          <w:numId w:val="37"/>
        </w:numPr>
      </w:pPr>
      <w:r>
        <w:t>In den</w:t>
      </w:r>
      <w:r w:rsidR="00F46917">
        <w:t xml:space="preserve"> Pos. 2.2 (nur Gedenkstättenfahrten) und 5.2</w:t>
      </w:r>
      <w:r w:rsidR="00EE23B3">
        <w:t xml:space="preserve"> </w:t>
      </w:r>
      <w:r>
        <w:t>ist es</w:t>
      </w:r>
      <w:r w:rsidR="00F46917">
        <w:t xml:space="preserve"> </w:t>
      </w:r>
      <w:r w:rsidR="00EE23B3">
        <w:t>zulässig</w:t>
      </w:r>
      <w:r w:rsidR="00F46917">
        <w:t xml:space="preserve">, schon vor Bekanntgabe des Zuwendungsbescheides Lieferungs- und Leistungsverträge abzuschließen, die der Ausführung des Projektes zuzurechnen sind. Voraussetzungen hierfür sind, dass diese für die Reiseplanung notwendig sind, </w:t>
      </w:r>
      <w:r w:rsidR="00EE23B3">
        <w:t xml:space="preserve">dass sie </w:t>
      </w:r>
      <w:proofErr w:type="spellStart"/>
      <w:r w:rsidR="00F46917">
        <w:t>stornierbar</w:t>
      </w:r>
      <w:proofErr w:type="spellEnd"/>
      <w:r w:rsidR="00F46917">
        <w:t xml:space="preserve"> sind und dass bei der </w:t>
      </w:r>
      <w:r w:rsidR="00EE23B3">
        <w:t xml:space="preserve">vorgelagerten Buchung die entsprechenden Regelungen der ANBest-P bzw. ANBest-G beachtet wurden. </w:t>
      </w:r>
      <w:r w:rsidR="00EE23B3">
        <w:br/>
      </w:r>
    </w:p>
    <w:p w:rsidR="00EE23B3" w:rsidRPr="00EE23B3" w:rsidRDefault="00EE23B3" w:rsidP="00EE23B3">
      <w:pPr>
        <w:numPr>
          <w:ilvl w:val="0"/>
          <w:numId w:val="37"/>
        </w:numPr>
      </w:pPr>
      <w:r w:rsidRPr="00EE23B3">
        <w:t xml:space="preserve">Wegen der o.a. </w:t>
      </w:r>
      <w:r w:rsidR="000A688C">
        <w:t>Regelung</w:t>
      </w:r>
      <w:r w:rsidR="000A688C" w:rsidRPr="00EE23B3">
        <w:t xml:space="preserve"> </w:t>
      </w:r>
      <w:r w:rsidRPr="00EE23B3">
        <w:t xml:space="preserve">ist für die beiden Förderbereiche </w:t>
      </w:r>
      <w:r w:rsidR="00B74377">
        <w:t>der Antragsvordruck</w:t>
      </w:r>
      <w:r w:rsidRPr="00EE23B3">
        <w:t xml:space="preserve"> Muster 1a zu verwenden.</w:t>
      </w:r>
    </w:p>
    <w:p w:rsidR="00F46917" w:rsidRDefault="00F46917"/>
    <w:p w:rsidR="002D5A50" w:rsidRDefault="008D0800">
      <w:r>
        <w:t xml:space="preserve">   -   Der Termin zur Abgabe der Förderanträge </w:t>
      </w:r>
      <w:r w:rsidR="00473678">
        <w:t xml:space="preserve">zur Pos. </w:t>
      </w:r>
      <w:r w:rsidR="002D5A50">
        <w:t xml:space="preserve">2.2 (nur Gedenkstättenfahrten) und </w:t>
      </w:r>
    </w:p>
    <w:p w:rsidR="002D5A50" w:rsidRDefault="002D5A50">
      <w:r>
        <w:t xml:space="preserve">       5.2</w:t>
      </w:r>
      <w:r w:rsidR="00473678">
        <w:t xml:space="preserve">, die bereits bis zum </w:t>
      </w:r>
      <w:r w:rsidR="00473678" w:rsidRPr="00473678">
        <w:rPr>
          <w:b/>
        </w:rPr>
        <w:t>30.06.</w:t>
      </w:r>
      <w:r w:rsidR="00F46917">
        <w:rPr>
          <w:b/>
        </w:rPr>
        <w:t>202</w:t>
      </w:r>
      <w:r w:rsidR="00A26DAC">
        <w:rPr>
          <w:b/>
        </w:rPr>
        <w:t>2</w:t>
      </w:r>
      <w:r w:rsidR="00473678" w:rsidRPr="00473678">
        <w:rPr>
          <w:b/>
        </w:rPr>
        <w:t xml:space="preserve"> realisiert werden sollen</w:t>
      </w:r>
      <w:r w:rsidR="00473678">
        <w:t xml:space="preserve">, ist der </w:t>
      </w:r>
      <w:r w:rsidR="00473678" w:rsidRPr="00473678">
        <w:rPr>
          <w:b/>
        </w:rPr>
        <w:t>15.10.</w:t>
      </w:r>
      <w:r w:rsidR="00F46917">
        <w:rPr>
          <w:b/>
        </w:rPr>
        <w:t>20</w:t>
      </w:r>
      <w:r w:rsidR="00A26DAC">
        <w:rPr>
          <w:b/>
        </w:rPr>
        <w:t>21</w:t>
      </w:r>
      <w:r w:rsidR="00473678">
        <w:t>.</w:t>
      </w:r>
      <w:r w:rsidR="000B4E5C">
        <w:t xml:space="preserve"> </w:t>
      </w:r>
    </w:p>
    <w:p w:rsidR="002D5A50" w:rsidRDefault="002D5A50">
      <w:r>
        <w:t xml:space="preserve">       </w:t>
      </w:r>
      <w:r w:rsidR="00D23700">
        <w:t>Es</w:t>
      </w:r>
      <w:r w:rsidR="000B4E5C">
        <w:t xml:space="preserve"> </w:t>
      </w:r>
      <w:r w:rsidR="00D23700">
        <w:t>handelt sich hierbei</w:t>
      </w:r>
      <w:r w:rsidR="00C93BF7">
        <w:t xml:space="preserve"> </w:t>
      </w:r>
      <w:r w:rsidR="00D23700">
        <w:t>nicht</w:t>
      </w:r>
      <w:r w:rsidR="00C93BF7">
        <w:t xml:space="preserve"> </w:t>
      </w:r>
      <w:r w:rsidR="00D23700">
        <w:t>um eine</w:t>
      </w:r>
      <w:r w:rsidR="000B4E5C">
        <w:t xml:space="preserve"> </w:t>
      </w:r>
      <w:r w:rsidR="00D23700">
        <w:t xml:space="preserve">Ausschlussfrist. </w:t>
      </w:r>
      <w:r w:rsidR="00FF017F">
        <w:t>Es wird jedoch darauf hinge</w:t>
      </w:r>
      <w:r>
        <w:t xml:space="preserve">-     </w:t>
      </w:r>
      <w:r>
        <w:br/>
        <w:t xml:space="preserve">       </w:t>
      </w:r>
      <w:r w:rsidR="00FF017F">
        <w:t>wi</w:t>
      </w:r>
      <w:r>
        <w:t>e</w:t>
      </w:r>
      <w:r w:rsidR="00FF017F">
        <w:t>sen</w:t>
      </w:r>
      <w:r w:rsidR="00D23700">
        <w:t>,</w:t>
      </w:r>
      <w:r w:rsidR="000B4E5C">
        <w:t xml:space="preserve"> </w:t>
      </w:r>
      <w:r w:rsidR="00D23700">
        <w:t>dass Anträge, die</w:t>
      </w:r>
      <w:r w:rsidR="00C93BF7">
        <w:t xml:space="preserve"> </w:t>
      </w:r>
      <w:r w:rsidR="00D23700">
        <w:t>nach</w:t>
      </w:r>
      <w:r w:rsidR="007E7A8C">
        <w:t xml:space="preserve"> </w:t>
      </w:r>
      <w:r w:rsidR="00D23700">
        <w:t xml:space="preserve">diesem </w:t>
      </w:r>
      <w:r w:rsidR="000B4E5C">
        <w:t xml:space="preserve"> </w:t>
      </w:r>
      <w:r w:rsidR="00D23700">
        <w:t xml:space="preserve">Stichtag eingehen, nachrangig behandelt </w:t>
      </w:r>
    </w:p>
    <w:p w:rsidR="00D23700" w:rsidRPr="00D85542" w:rsidRDefault="002D5A50">
      <w:r>
        <w:t xml:space="preserve">       </w:t>
      </w:r>
      <w:r w:rsidR="00D23700" w:rsidRPr="00D85542">
        <w:t>werden.</w:t>
      </w:r>
      <w:bookmarkStart w:id="0" w:name="_GoBack"/>
      <w:bookmarkEnd w:id="0"/>
    </w:p>
    <w:p w:rsidR="000B4E5C" w:rsidRPr="00D85542" w:rsidRDefault="000B4E5C">
      <w:r w:rsidRPr="00D85542">
        <w:t xml:space="preserve">       </w:t>
      </w:r>
    </w:p>
    <w:p w:rsidR="00AF03F2" w:rsidRPr="00D85542" w:rsidRDefault="000B4E5C" w:rsidP="00AF03F2">
      <w:pPr>
        <w:jc w:val="both"/>
        <w:rPr>
          <w:rFonts w:cs="Arial"/>
        </w:rPr>
      </w:pPr>
      <w:r w:rsidRPr="00D85542">
        <w:t xml:space="preserve">   </w:t>
      </w:r>
      <w:r w:rsidR="004D6478" w:rsidRPr="00D85542">
        <w:t xml:space="preserve">-   </w:t>
      </w:r>
      <w:r w:rsidR="00BA47CC" w:rsidRPr="00D85542">
        <w:t>Bei der inhaltlichen Projektkonzeption orientieren Sie sich bitte</w:t>
      </w:r>
      <w:r w:rsidR="00512394" w:rsidRPr="00D85542">
        <w:t xml:space="preserve"> </w:t>
      </w:r>
      <w:r w:rsidR="00BA47CC" w:rsidRPr="00D85542">
        <w:t>an d</w:t>
      </w:r>
      <w:r w:rsidR="00D85542" w:rsidRPr="00D85542">
        <w:t>em</w:t>
      </w:r>
      <w:r w:rsidR="00BA47CC" w:rsidRPr="00D85542">
        <w:t xml:space="preserve"> </w:t>
      </w:r>
      <w:r w:rsidR="00512394" w:rsidRPr="00D85542">
        <w:t>„</w:t>
      </w:r>
      <w:r w:rsidR="00AF03F2" w:rsidRPr="00D85542">
        <w:rPr>
          <w:rFonts w:cs="Arial"/>
        </w:rPr>
        <w:t>Auszug aus den</w:t>
      </w:r>
    </w:p>
    <w:p w:rsidR="00AF03F2" w:rsidRPr="00D85542" w:rsidRDefault="00AF03F2" w:rsidP="00AF03F2">
      <w:pPr>
        <w:jc w:val="both"/>
        <w:rPr>
          <w:rFonts w:cs="Arial"/>
        </w:rPr>
      </w:pPr>
      <w:r w:rsidRPr="00D85542">
        <w:rPr>
          <w:rFonts w:cs="Arial"/>
        </w:rPr>
        <w:t xml:space="preserve">       Beurteilungs- und Fördermaßstäben für die Förderung von Projekten im Haushaltsjahr </w:t>
      </w:r>
    </w:p>
    <w:p w:rsidR="006A6BE4" w:rsidRPr="00AF03F2" w:rsidRDefault="00AF03F2" w:rsidP="00AF03F2">
      <w:pPr>
        <w:jc w:val="both"/>
      </w:pPr>
      <w:r w:rsidRPr="00D85542">
        <w:rPr>
          <w:rFonts w:cs="Arial"/>
        </w:rPr>
        <w:t xml:space="preserve">       </w:t>
      </w:r>
      <w:r w:rsidR="00F46917">
        <w:rPr>
          <w:rFonts w:cs="Arial"/>
        </w:rPr>
        <w:t>202</w:t>
      </w:r>
      <w:r w:rsidR="000A688C">
        <w:rPr>
          <w:rFonts w:cs="Arial"/>
        </w:rPr>
        <w:t>1</w:t>
      </w:r>
      <w:r w:rsidRPr="00D85542">
        <w:rPr>
          <w:rFonts w:cs="Arial"/>
        </w:rPr>
        <w:t xml:space="preserve"> aus dem Kinder- und Jugendförderplan </w:t>
      </w:r>
      <w:r w:rsidR="00F9729C" w:rsidRPr="00D85542">
        <w:t xml:space="preserve">“. </w:t>
      </w:r>
      <w:r w:rsidR="00BA47CC" w:rsidRPr="00D85542">
        <w:t xml:space="preserve">Im </w:t>
      </w:r>
      <w:r w:rsidR="00BB24A0" w:rsidRPr="00D85542">
        <w:t>W</w:t>
      </w:r>
      <w:r w:rsidR="00BA47CC" w:rsidRPr="00D85542">
        <w:t>eiteren gelten ebenfalls die</w:t>
      </w:r>
      <w:r w:rsidR="00F9729C" w:rsidRPr="00AF03F2">
        <w:t xml:space="preserve"> </w:t>
      </w:r>
    </w:p>
    <w:p w:rsidR="006A6BE4" w:rsidRDefault="006A6BE4">
      <w:r>
        <w:t xml:space="preserve">       </w:t>
      </w:r>
      <w:r w:rsidR="00BA47CC">
        <w:t>Anforderungen des Kinder- und Jugendförde</w:t>
      </w:r>
      <w:r w:rsidR="00390FF7">
        <w:t>r</w:t>
      </w:r>
      <w:r w:rsidR="00BA47CC">
        <w:t>gesetzes (3. Gesetz zur Ausführung des</w:t>
      </w:r>
    </w:p>
    <w:p w:rsidR="00BA47CC" w:rsidRDefault="006A6BE4">
      <w:r>
        <w:t xml:space="preserve">      </w:t>
      </w:r>
      <w:r w:rsidR="00BA47CC">
        <w:t xml:space="preserve"> Kinder- und Jugen</w:t>
      </w:r>
      <w:r w:rsidR="00FC0D15">
        <w:t>d</w:t>
      </w:r>
      <w:r w:rsidR="00BA47CC">
        <w:t xml:space="preserve">hilfegesetzes). </w:t>
      </w:r>
    </w:p>
    <w:p w:rsidR="00F9729C" w:rsidRDefault="00F9729C"/>
    <w:p w:rsidR="006E21AA" w:rsidRDefault="008D0800">
      <w:r>
        <w:t xml:space="preserve">   -   Gefördert werden notwendige und angemessene Sachkosten</w:t>
      </w:r>
      <w:r w:rsidR="003F1AE5">
        <w:t xml:space="preserve"> </w:t>
      </w:r>
      <w:r w:rsidR="00BA47CC">
        <w:t>sowie Personalausgaben,</w:t>
      </w:r>
    </w:p>
    <w:p w:rsidR="00BA47CC" w:rsidRDefault="00BA47CC">
      <w:r>
        <w:t xml:space="preserve">       aber keine </w:t>
      </w:r>
      <w:r w:rsidR="00041DA3">
        <w:t xml:space="preserve">unbefristeten Neueinstellungen. </w:t>
      </w:r>
      <w:r w:rsidR="00FD5C9E">
        <w:t xml:space="preserve">Zu den förderfähigen Sachausgaben zählen </w:t>
      </w:r>
    </w:p>
    <w:p w:rsidR="00BA47CC" w:rsidRDefault="00BA47CC">
      <w:r>
        <w:t xml:space="preserve">       </w:t>
      </w:r>
      <w:r w:rsidR="00FD5C9E">
        <w:t>Honorarkosten und lt. Ziffer 3.</w:t>
      </w:r>
      <w:r w:rsidR="00B360E5">
        <w:t>2</w:t>
      </w:r>
      <w:r w:rsidR="00FD5C9E">
        <w:t xml:space="preserve"> de</w:t>
      </w:r>
      <w:r w:rsidR="008F1B67">
        <w:t>s Allgemeinen Teils</w:t>
      </w:r>
      <w:r w:rsidR="00FD5C9E">
        <w:t xml:space="preserve"> der Förderrichtlinien auch </w:t>
      </w:r>
    </w:p>
    <w:p w:rsidR="00FD5C9E" w:rsidRDefault="00BA47CC">
      <w:r>
        <w:t xml:space="preserve">       </w:t>
      </w:r>
      <w:r w:rsidR="00FD5C9E">
        <w:t>Ausgaben nach § 8 Abs. 1 SGB IV (geringfügige Beschäftigung).</w:t>
      </w:r>
    </w:p>
    <w:p w:rsidR="00C93BF7" w:rsidRDefault="00C93BF7"/>
    <w:p w:rsidR="00C93BF7" w:rsidRPr="00FB6EC2" w:rsidRDefault="00C93BF7">
      <w:r w:rsidRPr="00FB6EC2">
        <w:t xml:space="preserve">   -   Bei einer Förderung von Personalkosten sind die Bestimmungen des Tarifrechts des</w:t>
      </w:r>
    </w:p>
    <w:p w:rsidR="00C93BF7" w:rsidRPr="00FB6EC2" w:rsidRDefault="00C93BF7">
      <w:r w:rsidRPr="00FB6EC2">
        <w:t xml:space="preserve">       Landes anzuwenden, wenn nicht ein anderes, bindendes Tarifsystem Anwendung</w:t>
      </w:r>
    </w:p>
    <w:p w:rsidR="00C93BF7" w:rsidRPr="00FB6EC2" w:rsidRDefault="00C93BF7">
      <w:r w:rsidRPr="00FB6EC2">
        <w:t xml:space="preserve">       findet. </w:t>
      </w:r>
      <w:r w:rsidRPr="00FB6EC2">
        <w:rPr>
          <w:b/>
        </w:rPr>
        <w:t>Eine Besserstellung gegenüber dem TV-Land ist auszuschließen</w:t>
      </w:r>
      <w:r w:rsidRPr="00FB6EC2">
        <w:t>. Ggf.</w:t>
      </w:r>
    </w:p>
    <w:p w:rsidR="00C93BF7" w:rsidRPr="00FB6EC2" w:rsidRDefault="00C93BF7">
      <w:r w:rsidRPr="00FB6EC2">
        <w:t xml:space="preserve">       sind bei der Beantragung die Personalkosten anzugeben, die bei einer Anwendung</w:t>
      </w:r>
    </w:p>
    <w:p w:rsidR="00C93BF7" w:rsidRPr="00FB6EC2" w:rsidRDefault="00C93BF7">
      <w:r w:rsidRPr="00FB6EC2">
        <w:t xml:space="preserve">       des Tarifrechts des Landes entstehen würden.</w:t>
      </w:r>
    </w:p>
    <w:p w:rsidR="00F9729C" w:rsidRPr="00FB6EC2" w:rsidRDefault="00F9729C"/>
    <w:p w:rsidR="00041DA3" w:rsidRDefault="00F9729C" w:rsidP="00872723">
      <w:r>
        <w:t xml:space="preserve">   -   Die mögliche Förderung aus Mitteln des Kinder- und Jugendförderplanes beträgt</w:t>
      </w:r>
      <w:r w:rsidR="00041DA3">
        <w:t xml:space="preserve"> gem. </w:t>
      </w:r>
    </w:p>
    <w:p w:rsidR="00F9729C" w:rsidRDefault="00041DA3" w:rsidP="00872723">
      <w:r>
        <w:t xml:space="preserve">       den Richtlinien für die Förderung nach dem Kinder- und Jugendförderplan </w:t>
      </w:r>
      <w:r w:rsidR="00F9729C">
        <w:t>für</w:t>
      </w:r>
    </w:p>
    <w:p w:rsidR="00F9729C" w:rsidRDefault="00F9729C" w:rsidP="00872723">
      <w:r>
        <w:t xml:space="preserve">       - Träger der freien Jugendhilfe bis zu 85 %,</w:t>
      </w:r>
    </w:p>
    <w:p w:rsidR="00F9729C" w:rsidRDefault="00F9729C" w:rsidP="00872723">
      <w:r>
        <w:t xml:space="preserve">       - Träger der öffentlichen Jugendhilfe </w:t>
      </w:r>
      <w:r w:rsidR="00B360E5">
        <w:t xml:space="preserve">40 </w:t>
      </w:r>
      <w:r>
        <w:t>bis 80 %</w:t>
      </w:r>
    </w:p>
    <w:p w:rsidR="00B360E5" w:rsidRDefault="00F9729C" w:rsidP="00872723">
      <w:r>
        <w:t xml:space="preserve">       der von der Bewilligungsbehörde als zuwendungsfähig anerkannten Ausgaben.</w:t>
      </w:r>
    </w:p>
    <w:p w:rsidR="00041DA3" w:rsidRDefault="00B360E5" w:rsidP="00872723">
      <w:pPr>
        <w:rPr>
          <w:b/>
        </w:rPr>
      </w:pPr>
      <w:r>
        <w:t xml:space="preserve">       </w:t>
      </w:r>
      <w:r w:rsidRPr="00041DA3">
        <w:rPr>
          <w:b/>
        </w:rPr>
        <w:t>Dabei ist zu beachten, dass Teilnehmerbeiträge und Leistungen Dritter</w:t>
      </w:r>
    </w:p>
    <w:p w:rsidR="00041DA3" w:rsidRDefault="00041DA3" w:rsidP="00872723">
      <w:pPr>
        <w:rPr>
          <w:b/>
        </w:rPr>
      </w:pPr>
      <w:r>
        <w:rPr>
          <w:b/>
        </w:rPr>
        <w:t xml:space="preserve">      </w:t>
      </w:r>
      <w:r w:rsidR="00B360E5" w:rsidRPr="00041DA3">
        <w:rPr>
          <w:b/>
        </w:rPr>
        <w:t xml:space="preserve"> (mit Ausnahme öffentlicher Förderung) von den Ausgaben in Abzug zu bringen </w:t>
      </w:r>
    </w:p>
    <w:p w:rsidR="00872723" w:rsidRPr="00041DA3" w:rsidRDefault="00041DA3" w:rsidP="00872723">
      <w:pPr>
        <w:rPr>
          <w:b/>
        </w:rPr>
      </w:pPr>
      <w:r>
        <w:rPr>
          <w:b/>
        </w:rPr>
        <w:t xml:space="preserve">       </w:t>
      </w:r>
      <w:r w:rsidR="00B360E5" w:rsidRPr="00041DA3">
        <w:rPr>
          <w:b/>
        </w:rPr>
        <w:t>sind.</w:t>
      </w:r>
      <w:r w:rsidR="00F9729C" w:rsidRPr="00041DA3">
        <w:rPr>
          <w:b/>
        </w:rPr>
        <w:t xml:space="preserve"> </w:t>
      </w:r>
    </w:p>
    <w:p w:rsidR="00872723" w:rsidRDefault="00872723" w:rsidP="00872723"/>
    <w:p w:rsidR="008F1B67" w:rsidRDefault="008F1B67" w:rsidP="00872723">
      <w:r>
        <w:t xml:space="preserve">   -   Die Gewährung von Zuwendungen setzt grundsätzlich den Einsatz von Eigenmitteln</w:t>
      </w:r>
    </w:p>
    <w:p w:rsidR="008F1B67" w:rsidRDefault="00D9798C" w:rsidP="00872723">
      <w:r>
        <w:lastRenderedPageBreak/>
        <w:t xml:space="preserve">       Voraus. </w:t>
      </w:r>
      <w:r w:rsidR="002A524D">
        <w:t>Diese</w:t>
      </w:r>
      <w:r w:rsidR="008F1B67">
        <w:t xml:space="preserve"> kö</w:t>
      </w:r>
      <w:r w:rsidR="002A524D">
        <w:t>nn</w:t>
      </w:r>
      <w:r w:rsidR="008F1B67">
        <w:t>en</w:t>
      </w:r>
      <w:r w:rsidR="002A524D">
        <w:t xml:space="preserve"> auch unbar erbracht werden (siehe hierzu die nachfolgenden </w:t>
      </w:r>
    </w:p>
    <w:p w:rsidR="008F1B67" w:rsidRDefault="008F1B67" w:rsidP="00872723">
      <w:r>
        <w:t xml:space="preserve">       </w:t>
      </w:r>
      <w:r w:rsidR="002A524D">
        <w:t>Ausführungen zum</w:t>
      </w:r>
      <w:r w:rsidR="00F9729C">
        <w:t xml:space="preserve"> </w:t>
      </w:r>
      <w:r w:rsidR="002A524D">
        <w:t>Bürgerschaftlichen Engagement).</w:t>
      </w:r>
      <w:r w:rsidR="00F9729C">
        <w:t xml:space="preserve"> </w:t>
      </w:r>
      <w:r w:rsidR="00BB24A0">
        <w:t xml:space="preserve">Die o. a. Förderhöhe bleibt davon </w:t>
      </w:r>
    </w:p>
    <w:p w:rsidR="00F9729C" w:rsidRDefault="008F1B67" w:rsidP="00872723">
      <w:r>
        <w:t xml:space="preserve">       </w:t>
      </w:r>
      <w:r w:rsidR="00BB24A0">
        <w:t>unberührt.</w:t>
      </w:r>
      <w:r w:rsidR="00F9729C">
        <w:t xml:space="preserve">    </w:t>
      </w:r>
    </w:p>
    <w:p w:rsidR="008D0800" w:rsidRDefault="008D0800"/>
    <w:p w:rsidR="00F9729C" w:rsidRDefault="008D0800">
      <w:r>
        <w:t xml:space="preserve">  </w:t>
      </w:r>
      <w:r w:rsidR="00A16993">
        <w:t xml:space="preserve"> -  </w:t>
      </w:r>
      <w:r w:rsidR="002A524D">
        <w:t xml:space="preserve"> </w:t>
      </w:r>
      <w:r w:rsidR="00A16993">
        <w:t>Bürgerschaftliches Engagement kann in Form von freiwilligen, unentgeltlichen Arbeiten</w:t>
      </w:r>
    </w:p>
    <w:p w:rsidR="00F10F1A" w:rsidRDefault="00A16993">
      <w:r>
        <w:t xml:space="preserve">      </w:t>
      </w:r>
      <w:r w:rsidR="002A524D">
        <w:t xml:space="preserve"> </w:t>
      </w:r>
      <w:r>
        <w:t xml:space="preserve">als fiktive Ausgabe in die Bemessungsgrundlage </w:t>
      </w:r>
      <w:r w:rsidR="00F10F1A">
        <w:t xml:space="preserve">für die Zuwendungen </w:t>
      </w:r>
      <w:r>
        <w:t xml:space="preserve">einbezogen </w:t>
      </w:r>
    </w:p>
    <w:p w:rsidR="00F10F1A" w:rsidRDefault="00F10F1A">
      <w:r>
        <w:t xml:space="preserve">      </w:t>
      </w:r>
      <w:r w:rsidR="002A524D">
        <w:t xml:space="preserve"> </w:t>
      </w:r>
      <w:r w:rsidR="00A16993">
        <w:t>werden</w:t>
      </w:r>
      <w:r>
        <w:t>. Berücksichtigt werden können</w:t>
      </w:r>
      <w:r w:rsidR="00A16993">
        <w:t xml:space="preserve"> pro geleisteter</w:t>
      </w:r>
      <w:r>
        <w:t xml:space="preserve"> </w:t>
      </w:r>
      <w:r w:rsidR="00A16993">
        <w:t>Arbeitsstunde pauschal 1</w:t>
      </w:r>
      <w:r w:rsidR="002D5A50">
        <w:t>5</w:t>
      </w:r>
      <w:r w:rsidR="00A16993">
        <w:t xml:space="preserve"> Euro,</w:t>
      </w:r>
    </w:p>
    <w:p w:rsidR="00F10F1A" w:rsidRDefault="00F10F1A">
      <w:r>
        <w:t xml:space="preserve">     </w:t>
      </w:r>
      <w:r w:rsidR="002A524D">
        <w:t xml:space="preserve"> </w:t>
      </w:r>
      <w:r w:rsidR="00A16993">
        <w:t xml:space="preserve"> wobei die Höhe der fiktiven Ausgaben für bürgerschaftliches Engagement</w:t>
      </w:r>
      <w:r w:rsidR="00011EDF">
        <w:t xml:space="preserve"> 20 v.H. der</w:t>
      </w:r>
    </w:p>
    <w:p w:rsidR="00A1519C" w:rsidRDefault="00F10F1A" w:rsidP="006A6BE4">
      <w:r>
        <w:t xml:space="preserve">    </w:t>
      </w:r>
      <w:r w:rsidR="002A524D">
        <w:t xml:space="preserve"> </w:t>
      </w:r>
      <w:r>
        <w:t xml:space="preserve"> </w:t>
      </w:r>
      <w:r w:rsidR="00011EDF">
        <w:t xml:space="preserve"> zuwendungsfähigen Gesamtausgaben nicht überschreiten darf.</w:t>
      </w:r>
      <w:r w:rsidR="00872723">
        <w:t xml:space="preserve"> Allerdings wird aus</w:t>
      </w:r>
      <w:r w:rsidR="00A1519C">
        <w:t>-</w:t>
      </w:r>
    </w:p>
    <w:p w:rsidR="006A6BE4" w:rsidRDefault="00A1519C" w:rsidP="006A6BE4">
      <w:r>
        <w:t xml:space="preserve">       </w:t>
      </w:r>
      <w:proofErr w:type="spellStart"/>
      <w:r w:rsidR="00872723">
        <w:t>drücklich</w:t>
      </w:r>
      <w:proofErr w:type="spellEnd"/>
      <w:r w:rsidR="00872723">
        <w:t xml:space="preserve"> darauf hingewiesen, dass die </w:t>
      </w:r>
      <w:r w:rsidR="0025258A">
        <w:t xml:space="preserve">Zuwendung die Summe der Ist-Ausgaben nicht </w:t>
      </w:r>
    </w:p>
    <w:p w:rsidR="006A6BE4" w:rsidRDefault="006A6BE4">
      <w:r>
        <w:t xml:space="preserve">       </w:t>
      </w:r>
      <w:r w:rsidR="0025258A">
        <w:t>übersteigen darf.</w:t>
      </w:r>
      <w:r w:rsidRPr="006A6BE4">
        <w:t xml:space="preserve"> </w:t>
      </w:r>
    </w:p>
    <w:p w:rsidR="002A524D" w:rsidRDefault="002A524D"/>
    <w:p w:rsidR="002A524D" w:rsidRDefault="002A524D">
      <w:r>
        <w:t xml:space="preserve">   -   Der Anlage 1 </w:t>
      </w:r>
      <w:r w:rsidR="003B1141">
        <w:t>sollte</w:t>
      </w:r>
      <w:r>
        <w:t xml:space="preserve"> ein spezifizierter Kostenplan beigefügt werden, in dem die einzel-</w:t>
      </w:r>
    </w:p>
    <w:p w:rsidR="002A524D" w:rsidRDefault="002A524D">
      <w:r>
        <w:t xml:space="preserve">       </w:t>
      </w:r>
      <w:proofErr w:type="spellStart"/>
      <w:r>
        <w:t>nen</w:t>
      </w:r>
      <w:proofErr w:type="spellEnd"/>
      <w:r>
        <w:t xml:space="preserve"> Kosten (-ermittlungen) nachvollziehbar dargestellt werden.  </w:t>
      </w:r>
    </w:p>
    <w:p w:rsidR="008D0800" w:rsidRDefault="008D0800"/>
    <w:p w:rsidR="008D0800" w:rsidRDefault="008D0800">
      <w:r>
        <w:t xml:space="preserve">   </w:t>
      </w:r>
      <w:r w:rsidR="003C12B3">
        <w:t xml:space="preserve">-  </w:t>
      </w:r>
      <w:r>
        <w:t xml:space="preserve">Im Kosten- und Finanzierungsplan werden </w:t>
      </w:r>
      <w:r w:rsidRPr="008D0800">
        <w:rPr>
          <w:b/>
        </w:rPr>
        <w:t>nicht</w:t>
      </w:r>
      <w:r>
        <w:t xml:space="preserve"> anerkannt:</w:t>
      </w:r>
    </w:p>
    <w:p w:rsidR="008D0800" w:rsidRDefault="008D0800">
      <w:r>
        <w:t xml:space="preserve">   </w:t>
      </w:r>
      <w:r w:rsidR="003C12B3">
        <w:t xml:space="preserve">    </w:t>
      </w:r>
      <w:r>
        <w:t>-   Miete und Mietnebenkosten für vorhandene eigene Räume</w:t>
      </w:r>
      <w:r w:rsidR="00F31624">
        <w:t>,</w:t>
      </w:r>
    </w:p>
    <w:p w:rsidR="008D0800" w:rsidRDefault="008D0800">
      <w:r>
        <w:t xml:space="preserve">   </w:t>
      </w:r>
      <w:r w:rsidR="003C12B3">
        <w:t xml:space="preserve">    </w:t>
      </w:r>
      <w:r>
        <w:t>-   Sog. „Overheadkosten“ bzw. Verwaltungskostenpauschalen</w:t>
      </w:r>
      <w:r w:rsidR="00F31624">
        <w:t>,</w:t>
      </w:r>
    </w:p>
    <w:p w:rsidR="008D0800" w:rsidRDefault="008D0800">
      <w:r>
        <w:t xml:space="preserve">   </w:t>
      </w:r>
      <w:r w:rsidR="003C12B3">
        <w:t xml:space="preserve">    </w:t>
      </w:r>
      <w:r w:rsidR="0016377E">
        <w:t>-   Investive Kosten,</w:t>
      </w:r>
    </w:p>
    <w:p w:rsidR="0016377E" w:rsidRDefault="0016377E">
      <w:r>
        <w:t xml:space="preserve">       -   Ausgaben, die durch die Teilnahme von Lehrkräften des Landes an geförderten</w:t>
      </w:r>
    </w:p>
    <w:p w:rsidR="0016377E" w:rsidRDefault="0016377E">
      <w:r>
        <w:t xml:space="preserve">           Angeboten entstehen (z. B. Fortbildungen, Seminare, Reisekosten) sind nicht</w:t>
      </w:r>
    </w:p>
    <w:p w:rsidR="0016377E" w:rsidRDefault="0016377E">
      <w:r>
        <w:t xml:space="preserve">           förderfähig. Dies gilt auch für Maßnahmen, die ausschließlich dem Schulbetrieb</w:t>
      </w:r>
    </w:p>
    <w:p w:rsidR="0016377E" w:rsidRDefault="0016377E">
      <w:r>
        <w:t xml:space="preserve">           zuzuordnen sind.           </w:t>
      </w:r>
    </w:p>
    <w:p w:rsidR="00F10F1A" w:rsidRDefault="00F10F1A"/>
    <w:p w:rsidR="008D0800" w:rsidRDefault="00F10F1A">
      <w:r>
        <w:t xml:space="preserve">   </w:t>
      </w:r>
      <w:r w:rsidR="00DD672C">
        <w:t>-</w:t>
      </w:r>
      <w:r w:rsidR="008D0800">
        <w:t xml:space="preserve">   Die Bagatellgrenze für öffe</w:t>
      </w:r>
      <w:r w:rsidR="009A0174">
        <w:t>ntliche Träger beträgt 12.500,00</w:t>
      </w:r>
      <w:r w:rsidR="008D0800">
        <w:t xml:space="preserve"> Euro; die Bagatellgrenze für</w:t>
      </w:r>
    </w:p>
    <w:p w:rsidR="002F1FE8" w:rsidRPr="00D85542" w:rsidRDefault="008D0800">
      <w:r>
        <w:t xml:space="preserve">       freie Träger beträgt </w:t>
      </w:r>
      <w:r w:rsidR="00FA3D02">
        <w:t xml:space="preserve">nach den </w:t>
      </w:r>
      <w:r w:rsidR="00FA3D02" w:rsidRPr="00D85542">
        <w:t xml:space="preserve">Richtlinien zum </w:t>
      </w:r>
      <w:r w:rsidR="002F1FE8" w:rsidRPr="00D85542">
        <w:t>Kinder- und Jugendförderplan</w:t>
      </w:r>
      <w:r w:rsidR="00FA3D02" w:rsidRPr="00D85542">
        <w:t xml:space="preserve"> </w:t>
      </w:r>
    </w:p>
    <w:p w:rsidR="003B1141" w:rsidRPr="00D85542" w:rsidRDefault="002F1FE8">
      <w:r w:rsidRPr="00D85542">
        <w:t xml:space="preserve">       1.0</w:t>
      </w:r>
      <w:r w:rsidR="008D0800" w:rsidRPr="00D85542">
        <w:t>00,</w:t>
      </w:r>
      <w:r w:rsidR="009A0174">
        <w:t>00</w:t>
      </w:r>
      <w:r w:rsidR="008D0800" w:rsidRPr="00D85542">
        <w:t xml:space="preserve"> Euro (jeweils bezogen auf den Zuwendungsbetrag).</w:t>
      </w:r>
      <w:r w:rsidR="003B1141" w:rsidRPr="00D85542">
        <w:t xml:space="preserve"> Für Fahrten zu Gedenk-</w:t>
      </w:r>
    </w:p>
    <w:p w:rsidR="00015F44" w:rsidRDefault="003B1141">
      <w:r w:rsidRPr="00D85542">
        <w:t xml:space="preserve">       </w:t>
      </w:r>
      <w:proofErr w:type="spellStart"/>
      <w:r w:rsidRPr="00D85542">
        <w:t>stätten</w:t>
      </w:r>
      <w:proofErr w:type="spellEnd"/>
      <w:r w:rsidRPr="00D85542">
        <w:t xml:space="preserve"> beträgt die Bagatellgrenze bei Zuwendungen an freie Träger 500,00 Euro </w:t>
      </w:r>
    </w:p>
    <w:p w:rsidR="008D0800" w:rsidRPr="008D0800" w:rsidRDefault="00015F44">
      <w:r>
        <w:t xml:space="preserve">       </w:t>
      </w:r>
      <w:r w:rsidR="003B1141" w:rsidRPr="00D85542">
        <w:t>(bezogen auf den Zuwendungsbetrag)</w:t>
      </w:r>
      <w:r w:rsidR="00DE040D" w:rsidRPr="00D85542">
        <w:t>.</w:t>
      </w:r>
      <w:r w:rsidR="008D0800">
        <w:t xml:space="preserve">   </w:t>
      </w:r>
    </w:p>
    <w:sectPr w:rsidR="008D0800" w:rsidRPr="008D0800">
      <w:headerReference w:type="default" r:id="rId7"/>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D8" w:rsidRDefault="00781CD8" w:rsidP="00AA15CB">
      <w:r>
        <w:separator/>
      </w:r>
    </w:p>
  </w:endnote>
  <w:endnote w:type="continuationSeparator" w:id="0">
    <w:p w:rsidR="00781CD8" w:rsidRDefault="00781CD8" w:rsidP="00AA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CD8" w:rsidRDefault="00781CD8" w:rsidP="00AA15CB">
      <w:r>
        <w:separator/>
      </w:r>
    </w:p>
  </w:footnote>
  <w:footnote w:type="continuationSeparator" w:id="0">
    <w:p w:rsidR="00781CD8" w:rsidRDefault="00781CD8" w:rsidP="00AA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78" w:rsidRDefault="00473678">
    <w:pPr>
      <w:pStyle w:val="Kopfzeile"/>
      <w:pBdr>
        <w:bottom w:val="none" w:sz="0" w:space="0" w:color="auto"/>
      </w:pBd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A26DAC">
      <w:rPr>
        <w:rStyle w:val="Seitenzahl"/>
        <w:noProof/>
      </w:rPr>
      <w:t>3</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791712D"/>
    <w:multiLevelType w:val="hybridMultilevel"/>
    <w:tmpl w:val="BF965D40"/>
    <w:lvl w:ilvl="0" w:tplc="2EBE94B8">
      <w:numFmt w:val="bullet"/>
      <w:lvlText w:val="-"/>
      <w:lvlJc w:val="left"/>
      <w:pPr>
        <w:ind w:left="528" w:hanging="360"/>
      </w:pPr>
      <w:rPr>
        <w:rFonts w:ascii="Arial" w:eastAsia="Times New Roman" w:hAnsi="Arial" w:cs="Arial" w:hint="default"/>
      </w:rPr>
    </w:lvl>
    <w:lvl w:ilvl="1" w:tplc="04070003" w:tentative="1">
      <w:start w:val="1"/>
      <w:numFmt w:val="bullet"/>
      <w:lvlText w:val="o"/>
      <w:lvlJc w:val="left"/>
      <w:pPr>
        <w:ind w:left="1248" w:hanging="360"/>
      </w:pPr>
      <w:rPr>
        <w:rFonts w:ascii="Courier New" w:hAnsi="Courier New" w:cs="Courier New" w:hint="default"/>
      </w:rPr>
    </w:lvl>
    <w:lvl w:ilvl="2" w:tplc="04070005" w:tentative="1">
      <w:start w:val="1"/>
      <w:numFmt w:val="bullet"/>
      <w:lvlText w:val=""/>
      <w:lvlJc w:val="left"/>
      <w:pPr>
        <w:ind w:left="1968" w:hanging="360"/>
      </w:pPr>
      <w:rPr>
        <w:rFonts w:ascii="Wingdings" w:hAnsi="Wingdings" w:hint="default"/>
      </w:rPr>
    </w:lvl>
    <w:lvl w:ilvl="3" w:tplc="04070001" w:tentative="1">
      <w:start w:val="1"/>
      <w:numFmt w:val="bullet"/>
      <w:lvlText w:val=""/>
      <w:lvlJc w:val="left"/>
      <w:pPr>
        <w:ind w:left="2688" w:hanging="360"/>
      </w:pPr>
      <w:rPr>
        <w:rFonts w:ascii="Symbol" w:hAnsi="Symbol" w:hint="default"/>
      </w:rPr>
    </w:lvl>
    <w:lvl w:ilvl="4" w:tplc="04070003" w:tentative="1">
      <w:start w:val="1"/>
      <w:numFmt w:val="bullet"/>
      <w:lvlText w:val="o"/>
      <w:lvlJc w:val="left"/>
      <w:pPr>
        <w:ind w:left="3408" w:hanging="360"/>
      </w:pPr>
      <w:rPr>
        <w:rFonts w:ascii="Courier New" w:hAnsi="Courier New" w:cs="Courier New" w:hint="default"/>
      </w:rPr>
    </w:lvl>
    <w:lvl w:ilvl="5" w:tplc="04070005" w:tentative="1">
      <w:start w:val="1"/>
      <w:numFmt w:val="bullet"/>
      <w:lvlText w:val=""/>
      <w:lvlJc w:val="left"/>
      <w:pPr>
        <w:ind w:left="4128" w:hanging="360"/>
      </w:pPr>
      <w:rPr>
        <w:rFonts w:ascii="Wingdings" w:hAnsi="Wingdings" w:hint="default"/>
      </w:rPr>
    </w:lvl>
    <w:lvl w:ilvl="6" w:tplc="04070001" w:tentative="1">
      <w:start w:val="1"/>
      <w:numFmt w:val="bullet"/>
      <w:lvlText w:val=""/>
      <w:lvlJc w:val="left"/>
      <w:pPr>
        <w:ind w:left="4848" w:hanging="360"/>
      </w:pPr>
      <w:rPr>
        <w:rFonts w:ascii="Symbol" w:hAnsi="Symbol" w:hint="default"/>
      </w:rPr>
    </w:lvl>
    <w:lvl w:ilvl="7" w:tplc="04070003" w:tentative="1">
      <w:start w:val="1"/>
      <w:numFmt w:val="bullet"/>
      <w:lvlText w:val="o"/>
      <w:lvlJc w:val="left"/>
      <w:pPr>
        <w:ind w:left="5568" w:hanging="360"/>
      </w:pPr>
      <w:rPr>
        <w:rFonts w:ascii="Courier New" w:hAnsi="Courier New" w:cs="Courier New" w:hint="default"/>
      </w:rPr>
    </w:lvl>
    <w:lvl w:ilvl="8" w:tplc="04070005" w:tentative="1">
      <w:start w:val="1"/>
      <w:numFmt w:val="bullet"/>
      <w:lvlText w:val=""/>
      <w:lvlJc w:val="left"/>
      <w:pPr>
        <w:ind w:left="6288" w:hanging="360"/>
      </w:pPr>
      <w:rPr>
        <w:rFonts w:ascii="Wingdings" w:hAnsi="Wingdings" w:hint="default"/>
      </w:rPr>
    </w:lvl>
  </w:abstractNum>
  <w:abstractNum w:abstractNumId="4" w15:restartNumberingAfterBreak="0">
    <w:nsid w:val="3B0578BF"/>
    <w:multiLevelType w:val="hybridMultilevel"/>
    <w:tmpl w:val="85C09E5C"/>
    <w:lvl w:ilvl="0" w:tplc="32E8737E">
      <w:start w:val="1"/>
      <w:numFmt w:val="bullet"/>
      <w:pStyle w:val="ListemitEinzug"/>
      <w:lvlText w:val=""/>
      <w:lvlJc w:val="left"/>
      <w:pPr>
        <w:tabs>
          <w:tab w:val="num" w:pos="720"/>
        </w:tabs>
        <w:ind w:left="720" w:hanging="360"/>
      </w:pPr>
      <w:rPr>
        <w:rFonts w:ascii="Wingdings" w:hAnsi="Wingdings" w:hint="default"/>
      </w:rPr>
    </w:lvl>
    <w:lvl w:ilvl="1" w:tplc="412CC8E8">
      <w:start w:val="1"/>
      <w:numFmt w:val="bullet"/>
      <w:lvlText w:val="o"/>
      <w:lvlJc w:val="left"/>
      <w:pPr>
        <w:tabs>
          <w:tab w:val="num" w:pos="1440"/>
        </w:tabs>
        <w:ind w:left="1440" w:hanging="360"/>
      </w:pPr>
      <w:rPr>
        <w:rFonts w:ascii="Courier New" w:hAnsi="Courier New" w:hint="default"/>
      </w:rPr>
    </w:lvl>
    <w:lvl w:ilvl="2" w:tplc="E7BE12F0" w:tentative="1">
      <w:start w:val="1"/>
      <w:numFmt w:val="bullet"/>
      <w:lvlText w:val=""/>
      <w:lvlJc w:val="left"/>
      <w:pPr>
        <w:tabs>
          <w:tab w:val="num" w:pos="2160"/>
        </w:tabs>
        <w:ind w:left="2160" w:hanging="360"/>
      </w:pPr>
      <w:rPr>
        <w:rFonts w:ascii="Wingdings" w:hAnsi="Wingdings" w:hint="default"/>
      </w:rPr>
    </w:lvl>
    <w:lvl w:ilvl="3" w:tplc="C18A681A" w:tentative="1">
      <w:start w:val="1"/>
      <w:numFmt w:val="bullet"/>
      <w:lvlText w:val=""/>
      <w:lvlJc w:val="left"/>
      <w:pPr>
        <w:tabs>
          <w:tab w:val="num" w:pos="2880"/>
        </w:tabs>
        <w:ind w:left="2880" w:hanging="360"/>
      </w:pPr>
      <w:rPr>
        <w:rFonts w:ascii="Symbol" w:hAnsi="Symbol" w:hint="default"/>
      </w:rPr>
    </w:lvl>
    <w:lvl w:ilvl="4" w:tplc="338E2BA2" w:tentative="1">
      <w:start w:val="1"/>
      <w:numFmt w:val="bullet"/>
      <w:lvlText w:val="o"/>
      <w:lvlJc w:val="left"/>
      <w:pPr>
        <w:tabs>
          <w:tab w:val="num" w:pos="3600"/>
        </w:tabs>
        <w:ind w:left="3600" w:hanging="360"/>
      </w:pPr>
      <w:rPr>
        <w:rFonts w:ascii="Courier New" w:hAnsi="Courier New" w:hint="default"/>
      </w:rPr>
    </w:lvl>
    <w:lvl w:ilvl="5" w:tplc="5AC23338" w:tentative="1">
      <w:start w:val="1"/>
      <w:numFmt w:val="bullet"/>
      <w:lvlText w:val=""/>
      <w:lvlJc w:val="left"/>
      <w:pPr>
        <w:tabs>
          <w:tab w:val="num" w:pos="4320"/>
        </w:tabs>
        <w:ind w:left="4320" w:hanging="360"/>
      </w:pPr>
      <w:rPr>
        <w:rFonts w:ascii="Wingdings" w:hAnsi="Wingdings" w:hint="default"/>
      </w:rPr>
    </w:lvl>
    <w:lvl w:ilvl="6" w:tplc="5FC22180" w:tentative="1">
      <w:start w:val="1"/>
      <w:numFmt w:val="bullet"/>
      <w:lvlText w:val=""/>
      <w:lvlJc w:val="left"/>
      <w:pPr>
        <w:tabs>
          <w:tab w:val="num" w:pos="5040"/>
        </w:tabs>
        <w:ind w:left="5040" w:hanging="360"/>
      </w:pPr>
      <w:rPr>
        <w:rFonts w:ascii="Symbol" w:hAnsi="Symbol" w:hint="default"/>
      </w:rPr>
    </w:lvl>
    <w:lvl w:ilvl="7" w:tplc="92CC2942" w:tentative="1">
      <w:start w:val="1"/>
      <w:numFmt w:val="bullet"/>
      <w:lvlText w:val="o"/>
      <w:lvlJc w:val="left"/>
      <w:pPr>
        <w:tabs>
          <w:tab w:val="num" w:pos="5760"/>
        </w:tabs>
        <w:ind w:left="5760" w:hanging="360"/>
      </w:pPr>
      <w:rPr>
        <w:rFonts w:ascii="Courier New" w:hAnsi="Courier New" w:hint="default"/>
      </w:rPr>
    </w:lvl>
    <w:lvl w:ilvl="8" w:tplc="1706BD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D115D1"/>
    <w:multiLevelType w:val="hybridMultilevel"/>
    <w:tmpl w:val="422847D6"/>
    <w:lvl w:ilvl="0" w:tplc="3B8A745A">
      <w:numFmt w:val="bullet"/>
      <w:lvlText w:val="-"/>
      <w:lvlJc w:val="left"/>
      <w:pPr>
        <w:ind w:left="528" w:hanging="360"/>
      </w:pPr>
      <w:rPr>
        <w:rFonts w:ascii="Arial" w:eastAsia="Times New Roman" w:hAnsi="Arial" w:cs="Arial" w:hint="default"/>
      </w:rPr>
    </w:lvl>
    <w:lvl w:ilvl="1" w:tplc="04070003" w:tentative="1">
      <w:start w:val="1"/>
      <w:numFmt w:val="bullet"/>
      <w:lvlText w:val="o"/>
      <w:lvlJc w:val="left"/>
      <w:pPr>
        <w:ind w:left="1248" w:hanging="360"/>
      </w:pPr>
      <w:rPr>
        <w:rFonts w:ascii="Courier New" w:hAnsi="Courier New" w:cs="Courier New" w:hint="default"/>
      </w:rPr>
    </w:lvl>
    <w:lvl w:ilvl="2" w:tplc="04070005" w:tentative="1">
      <w:start w:val="1"/>
      <w:numFmt w:val="bullet"/>
      <w:lvlText w:val=""/>
      <w:lvlJc w:val="left"/>
      <w:pPr>
        <w:ind w:left="1968" w:hanging="360"/>
      </w:pPr>
      <w:rPr>
        <w:rFonts w:ascii="Wingdings" w:hAnsi="Wingdings" w:hint="default"/>
      </w:rPr>
    </w:lvl>
    <w:lvl w:ilvl="3" w:tplc="04070001" w:tentative="1">
      <w:start w:val="1"/>
      <w:numFmt w:val="bullet"/>
      <w:lvlText w:val=""/>
      <w:lvlJc w:val="left"/>
      <w:pPr>
        <w:ind w:left="2688" w:hanging="360"/>
      </w:pPr>
      <w:rPr>
        <w:rFonts w:ascii="Symbol" w:hAnsi="Symbol" w:hint="default"/>
      </w:rPr>
    </w:lvl>
    <w:lvl w:ilvl="4" w:tplc="04070003" w:tentative="1">
      <w:start w:val="1"/>
      <w:numFmt w:val="bullet"/>
      <w:lvlText w:val="o"/>
      <w:lvlJc w:val="left"/>
      <w:pPr>
        <w:ind w:left="3408" w:hanging="360"/>
      </w:pPr>
      <w:rPr>
        <w:rFonts w:ascii="Courier New" w:hAnsi="Courier New" w:cs="Courier New" w:hint="default"/>
      </w:rPr>
    </w:lvl>
    <w:lvl w:ilvl="5" w:tplc="04070005" w:tentative="1">
      <w:start w:val="1"/>
      <w:numFmt w:val="bullet"/>
      <w:lvlText w:val=""/>
      <w:lvlJc w:val="left"/>
      <w:pPr>
        <w:ind w:left="4128" w:hanging="360"/>
      </w:pPr>
      <w:rPr>
        <w:rFonts w:ascii="Wingdings" w:hAnsi="Wingdings" w:hint="default"/>
      </w:rPr>
    </w:lvl>
    <w:lvl w:ilvl="6" w:tplc="04070001" w:tentative="1">
      <w:start w:val="1"/>
      <w:numFmt w:val="bullet"/>
      <w:lvlText w:val=""/>
      <w:lvlJc w:val="left"/>
      <w:pPr>
        <w:ind w:left="4848" w:hanging="360"/>
      </w:pPr>
      <w:rPr>
        <w:rFonts w:ascii="Symbol" w:hAnsi="Symbol" w:hint="default"/>
      </w:rPr>
    </w:lvl>
    <w:lvl w:ilvl="7" w:tplc="04070003" w:tentative="1">
      <w:start w:val="1"/>
      <w:numFmt w:val="bullet"/>
      <w:lvlText w:val="o"/>
      <w:lvlJc w:val="left"/>
      <w:pPr>
        <w:ind w:left="5568" w:hanging="360"/>
      </w:pPr>
      <w:rPr>
        <w:rFonts w:ascii="Courier New" w:hAnsi="Courier New" w:cs="Courier New" w:hint="default"/>
      </w:rPr>
    </w:lvl>
    <w:lvl w:ilvl="8" w:tplc="04070005" w:tentative="1">
      <w:start w:val="1"/>
      <w:numFmt w:val="bullet"/>
      <w:lvlText w:val=""/>
      <w:lvlJc w:val="left"/>
      <w:pPr>
        <w:ind w:left="6288" w:hanging="360"/>
      </w:pPr>
      <w:rPr>
        <w:rFonts w:ascii="Wingdings" w:hAnsi="Wingdings" w:hint="default"/>
      </w:rPr>
    </w:lvl>
  </w:abstractNum>
  <w:abstractNum w:abstractNumId="6" w15:restartNumberingAfterBreak="0">
    <w:nsid w:val="764B7DD9"/>
    <w:multiLevelType w:val="hybridMultilevel"/>
    <w:tmpl w:val="603A0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4"/>
  </w:num>
  <w:num w:numId="18">
    <w:abstractNumId w:val="4"/>
  </w:num>
  <w:num w:numId="19">
    <w:abstractNumId w:val="1"/>
  </w:num>
  <w:num w:numId="20">
    <w:abstractNumId w:val="1"/>
  </w:num>
  <w:num w:numId="21">
    <w:abstractNumId w:val="1"/>
  </w:num>
  <w:num w:numId="22">
    <w:abstractNumId w:val="1"/>
  </w:num>
  <w:num w:numId="23">
    <w:abstractNumId w:val="1"/>
  </w:num>
  <w:num w:numId="24">
    <w:abstractNumId w:val="2"/>
  </w:num>
  <w:num w:numId="25">
    <w:abstractNumId w:val="2"/>
  </w:num>
  <w:num w:numId="26">
    <w:abstractNumId w:val="2"/>
  </w:num>
  <w:num w:numId="27">
    <w:abstractNumId w:val="2"/>
  </w:num>
  <w:num w:numId="28">
    <w:abstractNumId w:val="4"/>
  </w:num>
  <w:num w:numId="29">
    <w:abstractNumId w:val="2"/>
  </w:num>
  <w:num w:numId="30">
    <w:abstractNumId w:val="2"/>
  </w:num>
  <w:num w:numId="31">
    <w:abstractNumId w:val="2"/>
  </w:num>
  <w:num w:numId="32">
    <w:abstractNumId w:val="2"/>
  </w:num>
  <w:num w:numId="33">
    <w:abstractNumId w:val="0"/>
  </w:num>
  <w:num w:numId="34">
    <w:abstractNumId w:val="4"/>
  </w:num>
  <w:num w:numId="35">
    <w:abstractNumId w:val="6"/>
  </w:num>
  <w:num w:numId="36">
    <w:abstractNumId w:val="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88"/>
    <w:rsid w:val="000052E3"/>
    <w:rsid w:val="000108A1"/>
    <w:rsid w:val="00011EDF"/>
    <w:rsid w:val="00015F44"/>
    <w:rsid w:val="00041DA3"/>
    <w:rsid w:val="00050F5A"/>
    <w:rsid w:val="000A1E67"/>
    <w:rsid w:val="000A688C"/>
    <w:rsid w:val="000B4E5C"/>
    <w:rsid w:val="001471CF"/>
    <w:rsid w:val="00162D06"/>
    <w:rsid w:val="0016377E"/>
    <w:rsid w:val="00194F12"/>
    <w:rsid w:val="001E2F18"/>
    <w:rsid w:val="001E5774"/>
    <w:rsid w:val="0025258A"/>
    <w:rsid w:val="0029006D"/>
    <w:rsid w:val="002A524D"/>
    <w:rsid w:val="002A72BD"/>
    <w:rsid w:val="002B19BF"/>
    <w:rsid w:val="002B26B7"/>
    <w:rsid w:val="002C43AA"/>
    <w:rsid w:val="002C7C76"/>
    <w:rsid w:val="002D5A50"/>
    <w:rsid w:val="002E2546"/>
    <w:rsid w:val="002F1FE8"/>
    <w:rsid w:val="00304D46"/>
    <w:rsid w:val="003373E4"/>
    <w:rsid w:val="00346E50"/>
    <w:rsid w:val="00356EDF"/>
    <w:rsid w:val="00390FF7"/>
    <w:rsid w:val="003B1141"/>
    <w:rsid w:val="003B336D"/>
    <w:rsid w:val="003C12B3"/>
    <w:rsid w:val="003C19FE"/>
    <w:rsid w:val="003D1CEF"/>
    <w:rsid w:val="003E2030"/>
    <w:rsid w:val="003E27CF"/>
    <w:rsid w:val="003F1AE5"/>
    <w:rsid w:val="003F2DD6"/>
    <w:rsid w:val="00422FE2"/>
    <w:rsid w:val="00473678"/>
    <w:rsid w:val="004B66C9"/>
    <w:rsid w:val="004C2550"/>
    <w:rsid w:val="004D6478"/>
    <w:rsid w:val="004E6756"/>
    <w:rsid w:val="00512394"/>
    <w:rsid w:val="005E05F3"/>
    <w:rsid w:val="00622806"/>
    <w:rsid w:val="006565D1"/>
    <w:rsid w:val="006A1476"/>
    <w:rsid w:val="006A6BE4"/>
    <w:rsid w:val="006E21AA"/>
    <w:rsid w:val="006F5688"/>
    <w:rsid w:val="00737163"/>
    <w:rsid w:val="007725B7"/>
    <w:rsid w:val="00781CD8"/>
    <w:rsid w:val="007B5F65"/>
    <w:rsid w:val="007C42D9"/>
    <w:rsid w:val="007C5523"/>
    <w:rsid w:val="007C5CC1"/>
    <w:rsid w:val="007E7A8C"/>
    <w:rsid w:val="007F505E"/>
    <w:rsid w:val="00802A5D"/>
    <w:rsid w:val="00802B7B"/>
    <w:rsid w:val="00872723"/>
    <w:rsid w:val="008751BF"/>
    <w:rsid w:val="008768FD"/>
    <w:rsid w:val="008D0800"/>
    <w:rsid w:val="008E70C0"/>
    <w:rsid w:val="008F1B67"/>
    <w:rsid w:val="00913EF9"/>
    <w:rsid w:val="00980E72"/>
    <w:rsid w:val="00982448"/>
    <w:rsid w:val="009A0174"/>
    <w:rsid w:val="009E7A38"/>
    <w:rsid w:val="00A1519C"/>
    <w:rsid w:val="00A16993"/>
    <w:rsid w:val="00A26DAC"/>
    <w:rsid w:val="00A47F1E"/>
    <w:rsid w:val="00A536CD"/>
    <w:rsid w:val="00A82BEF"/>
    <w:rsid w:val="00A9139F"/>
    <w:rsid w:val="00AA0D26"/>
    <w:rsid w:val="00AA15CB"/>
    <w:rsid w:val="00AF03F2"/>
    <w:rsid w:val="00AF6BE4"/>
    <w:rsid w:val="00B02C90"/>
    <w:rsid w:val="00B15921"/>
    <w:rsid w:val="00B360E5"/>
    <w:rsid w:val="00B42163"/>
    <w:rsid w:val="00B51A87"/>
    <w:rsid w:val="00B56638"/>
    <w:rsid w:val="00B5731F"/>
    <w:rsid w:val="00B74377"/>
    <w:rsid w:val="00BA47CC"/>
    <w:rsid w:val="00BB24A0"/>
    <w:rsid w:val="00C300D8"/>
    <w:rsid w:val="00C93BF7"/>
    <w:rsid w:val="00C95ED9"/>
    <w:rsid w:val="00CC2637"/>
    <w:rsid w:val="00CC3120"/>
    <w:rsid w:val="00CC7C92"/>
    <w:rsid w:val="00CD17C2"/>
    <w:rsid w:val="00CE045E"/>
    <w:rsid w:val="00D23700"/>
    <w:rsid w:val="00D72813"/>
    <w:rsid w:val="00D85542"/>
    <w:rsid w:val="00D9798C"/>
    <w:rsid w:val="00DD672C"/>
    <w:rsid w:val="00DE040D"/>
    <w:rsid w:val="00DE4774"/>
    <w:rsid w:val="00E073C2"/>
    <w:rsid w:val="00E242E3"/>
    <w:rsid w:val="00E24488"/>
    <w:rsid w:val="00E36B04"/>
    <w:rsid w:val="00E86712"/>
    <w:rsid w:val="00EA4D65"/>
    <w:rsid w:val="00EA5802"/>
    <w:rsid w:val="00EB2DBF"/>
    <w:rsid w:val="00EB6E6B"/>
    <w:rsid w:val="00EE23B3"/>
    <w:rsid w:val="00EF0A87"/>
    <w:rsid w:val="00F016ED"/>
    <w:rsid w:val="00F0671B"/>
    <w:rsid w:val="00F10F1A"/>
    <w:rsid w:val="00F12675"/>
    <w:rsid w:val="00F31624"/>
    <w:rsid w:val="00F46917"/>
    <w:rsid w:val="00F670C0"/>
    <w:rsid w:val="00F70297"/>
    <w:rsid w:val="00F723DC"/>
    <w:rsid w:val="00F9729C"/>
    <w:rsid w:val="00FA3D02"/>
    <w:rsid w:val="00FB6EC2"/>
    <w:rsid w:val="00FC0D15"/>
    <w:rsid w:val="00FD5C9E"/>
    <w:rsid w:val="00FF017F"/>
    <w:rsid w:val="00FF0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6C2E7"/>
  <w15:docId w15:val="{60DE18E7-BA07-447C-9065-04DED13D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numPr>
        <w:numId w:val="19"/>
      </w:numPr>
      <w:tabs>
        <w:tab w:val="left" w:pos="851"/>
      </w:tabs>
      <w:spacing w:before="600" w:after="240"/>
      <w:ind w:left="851" w:hanging="851"/>
      <w:outlineLvl w:val="0"/>
    </w:pPr>
    <w:rPr>
      <w:b/>
      <w:kern w:val="28"/>
      <w:sz w:val="36"/>
    </w:rPr>
  </w:style>
  <w:style w:type="paragraph" w:styleId="berschrift2">
    <w:name w:val="heading 2"/>
    <w:basedOn w:val="Standard"/>
    <w:next w:val="Standard"/>
    <w:qFormat/>
    <w:pPr>
      <w:keepNext/>
      <w:keepLines/>
      <w:numPr>
        <w:ilvl w:val="1"/>
        <w:numId w:val="20"/>
      </w:numPr>
      <w:tabs>
        <w:tab w:val="left" w:pos="851"/>
      </w:tabs>
      <w:spacing w:before="360" w:after="120"/>
      <w:ind w:left="851" w:hanging="851"/>
      <w:outlineLvl w:val="1"/>
    </w:pPr>
    <w:rPr>
      <w:b/>
      <w:sz w:val="28"/>
    </w:rPr>
  </w:style>
  <w:style w:type="paragraph" w:styleId="berschrift3">
    <w:name w:val="heading 3"/>
    <w:basedOn w:val="Standard"/>
    <w:next w:val="Standard"/>
    <w:qFormat/>
    <w:pPr>
      <w:keepNext/>
      <w:numPr>
        <w:ilvl w:val="2"/>
        <w:numId w:val="21"/>
      </w:numPr>
      <w:tabs>
        <w:tab w:val="left" w:pos="851"/>
      </w:tabs>
      <w:spacing w:before="300"/>
      <w:ind w:left="851" w:hanging="851"/>
      <w:outlineLvl w:val="2"/>
    </w:pPr>
    <w:rPr>
      <w:b/>
      <w:sz w:val="24"/>
    </w:rPr>
  </w:style>
  <w:style w:type="paragraph" w:styleId="berschrift4">
    <w:name w:val="heading 4"/>
    <w:basedOn w:val="Standard"/>
    <w:next w:val="Standard"/>
    <w:qFormat/>
    <w:pPr>
      <w:keepNext/>
      <w:numPr>
        <w:ilvl w:val="3"/>
        <w:numId w:val="22"/>
      </w:numPr>
      <w:tabs>
        <w:tab w:val="left" w:pos="851"/>
      </w:tabs>
      <w:spacing w:before="240"/>
      <w:ind w:left="851" w:hanging="851"/>
      <w:outlineLvl w:val="3"/>
    </w:pPr>
    <w:rPr>
      <w:b/>
      <w:sz w:val="20"/>
    </w:rPr>
  </w:style>
  <w:style w:type="paragraph" w:styleId="berschrift5">
    <w:name w:val="heading 5"/>
    <w:basedOn w:val="Standard"/>
    <w:next w:val="Standard"/>
    <w:qFormat/>
    <w:pPr>
      <w:numPr>
        <w:ilvl w:val="4"/>
        <w:numId w:val="23"/>
      </w:numPr>
      <w:spacing w:before="240" w:line="312" w:lineRule="atLeast"/>
      <w:jc w:val="both"/>
      <w:outlineLvl w:val="4"/>
    </w:pPr>
  </w:style>
  <w:style w:type="paragraph" w:styleId="berschrift6">
    <w:name w:val="heading 6"/>
    <w:basedOn w:val="Standard"/>
    <w:next w:val="Standard"/>
    <w:qFormat/>
    <w:pPr>
      <w:numPr>
        <w:ilvl w:val="5"/>
        <w:numId w:val="13"/>
      </w:numPr>
      <w:spacing w:before="240"/>
      <w:outlineLvl w:val="5"/>
    </w:pPr>
    <w:rPr>
      <w:i/>
    </w:rPr>
  </w:style>
  <w:style w:type="paragraph" w:styleId="berschrift7">
    <w:name w:val="heading 7"/>
    <w:basedOn w:val="Standard"/>
    <w:next w:val="Standard"/>
    <w:qFormat/>
    <w:pPr>
      <w:numPr>
        <w:ilvl w:val="6"/>
        <w:numId w:val="14"/>
      </w:numPr>
      <w:spacing w:before="240"/>
      <w:outlineLvl w:val="6"/>
    </w:pPr>
    <w:rPr>
      <w:sz w:val="20"/>
    </w:rPr>
  </w:style>
  <w:style w:type="paragraph" w:styleId="berschrift8">
    <w:name w:val="heading 8"/>
    <w:basedOn w:val="Standard"/>
    <w:next w:val="Standard"/>
    <w:qFormat/>
    <w:pPr>
      <w:numPr>
        <w:ilvl w:val="7"/>
        <w:numId w:val="15"/>
      </w:numPr>
      <w:spacing w:before="240"/>
      <w:outlineLvl w:val="7"/>
    </w:pPr>
    <w:rPr>
      <w:i/>
      <w:sz w:val="20"/>
    </w:rPr>
  </w:style>
  <w:style w:type="paragraph" w:styleId="berschrift9">
    <w:name w:val="heading 9"/>
    <w:basedOn w:val="Standard"/>
    <w:next w:val="Standard"/>
    <w:qFormat/>
    <w:pPr>
      <w:numPr>
        <w:ilvl w:val="8"/>
        <w:numId w:val="16"/>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33"/>
      </w:numPr>
      <w:spacing w:before="60" w:after="60"/>
    </w:pPr>
  </w:style>
  <w:style w:type="paragraph" w:styleId="Beschriftung">
    <w:name w:val="caption"/>
    <w:basedOn w:val="Standard"/>
    <w:next w:val="Standard"/>
    <w:qFormat/>
    <w:pPr>
      <w:keepNext/>
      <w:keepLines/>
      <w:tabs>
        <w:tab w:val="left" w:pos="1134"/>
      </w:tabs>
      <w:spacing w:before="240" w:after="60"/>
      <w:ind w:left="1134" w:hanging="1134"/>
    </w:pPr>
    <w:rPr>
      <w:b/>
      <w:sz w:val="18"/>
    </w:rPr>
  </w:style>
  <w:style w:type="paragraph" w:customStyle="1" w:styleId="Bild">
    <w:name w:val="Bild"/>
    <w:basedOn w:val="Standard"/>
    <w:next w:val="Standard"/>
    <w:pPr>
      <w:keepNext/>
      <w:spacing w:before="240" w:after="60" w:line="240" w:lineRule="atLeast"/>
    </w:pPr>
  </w:style>
  <w:style w:type="paragraph" w:customStyle="1" w:styleId="Bildunterschrift">
    <w:name w:val="Bildunterschrift"/>
    <w:basedOn w:val="Standard"/>
    <w:next w:val="Standard"/>
    <w:pPr>
      <w:tabs>
        <w:tab w:val="left" w:pos="851"/>
      </w:tabs>
      <w:spacing w:after="240"/>
      <w:ind w:left="851" w:hanging="851"/>
    </w:pPr>
    <w:rPr>
      <w:b/>
      <w:sz w:val="18"/>
    </w:rPr>
  </w:style>
  <w:style w:type="paragraph" w:styleId="Textkrper">
    <w:name w:val="Body Text"/>
    <w:basedOn w:val="Standard"/>
    <w:pPr>
      <w:jc w:val="center"/>
    </w:pPr>
  </w:style>
  <w:style w:type="paragraph" w:customStyle="1" w:styleId="Deckblattberschrift">
    <w:name w:val="Deckblattüberschrift"/>
    <w:basedOn w:val="Textkrper"/>
    <w:next w:val="Textkrper"/>
    <w:pPr>
      <w:spacing w:before="1440" w:line="400" w:lineRule="exact"/>
    </w:pPr>
    <w:rPr>
      <w:sz w:val="36"/>
    </w:rPr>
  </w:style>
  <w:style w:type="paragraph" w:styleId="Sprechblasentext">
    <w:name w:val="Balloon Text"/>
    <w:basedOn w:val="Standard"/>
    <w:semiHidden/>
    <w:rsid w:val="00EF0A87"/>
    <w:rPr>
      <w:rFonts w:ascii="Tahoma" w:hAnsi="Tahoma" w:cs="Tahoma"/>
      <w:sz w:val="16"/>
      <w:szCs w:val="16"/>
    </w:rPr>
  </w:style>
  <w:style w:type="paragraph" w:styleId="Funotentext">
    <w:name w:val="footnote text"/>
    <w:basedOn w:val="Standard"/>
    <w:semiHidden/>
    <w:pPr>
      <w:spacing w:before="60" w:after="60"/>
      <w:ind w:left="170" w:hanging="170"/>
    </w:pPr>
  </w:style>
  <w:style w:type="character" w:styleId="Funotenzeichen">
    <w:name w:val="footnote reference"/>
    <w:semiHidden/>
    <w:rPr>
      <w:rFonts w:ascii="Arial" w:hAnsi="Arial"/>
      <w:vertAlign w:val="superscript"/>
    </w:rPr>
  </w:style>
  <w:style w:type="paragraph" w:styleId="Fuzeile">
    <w:name w:val="footer"/>
    <w:basedOn w:val="Standard"/>
    <w:pPr>
      <w:tabs>
        <w:tab w:val="center" w:pos="4536"/>
        <w:tab w:val="right" w:pos="9072"/>
      </w:tabs>
      <w:spacing w:before="60" w:after="60"/>
    </w:pPr>
  </w:style>
  <w:style w:type="paragraph" w:styleId="Kopfzeile">
    <w:name w:val="header"/>
    <w:basedOn w:val="Standard"/>
    <w:pPr>
      <w:pBdr>
        <w:bottom w:val="single" w:sz="4" w:space="1" w:color="auto"/>
      </w:pBdr>
      <w:tabs>
        <w:tab w:val="right" w:pos="8505"/>
      </w:tabs>
      <w:spacing w:before="60" w:after="60"/>
    </w:pPr>
    <w:rPr>
      <w:b/>
      <w:sz w:val="18"/>
    </w:rPr>
  </w:style>
  <w:style w:type="paragraph" w:customStyle="1" w:styleId="Level1">
    <w:name w:val="Level 1"/>
    <w:basedOn w:val="Standard"/>
    <w:pPr>
      <w:widowControl w:val="0"/>
      <w:numPr>
        <w:numId w:val="32"/>
      </w:numPr>
      <w:autoSpaceDE w:val="0"/>
      <w:autoSpaceDN w:val="0"/>
      <w:adjustRightInd w:val="0"/>
      <w:outlineLvl w:val="0"/>
    </w:pPr>
  </w:style>
  <w:style w:type="paragraph" w:customStyle="1" w:styleId="Level2">
    <w:name w:val="Level 2"/>
    <w:basedOn w:val="Standard"/>
    <w:pPr>
      <w:widowControl w:val="0"/>
      <w:numPr>
        <w:ilvl w:val="1"/>
        <w:numId w:val="32"/>
      </w:numPr>
      <w:autoSpaceDE w:val="0"/>
      <w:autoSpaceDN w:val="0"/>
      <w:adjustRightInd w:val="0"/>
      <w:outlineLvl w:val="1"/>
    </w:pPr>
  </w:style>
  <w:style w:type="paragraph" w:customStyle="1" w:styleId="Level3">
    <w:name w:val="Level 3"/>
    <w:basedOn w:val="Standard"/>
    <w:pPr>
      <w:widowControl w:val="0"/>
      <w:numPr>
        <w:ilvl w:val="2"/>
        <w:numId w:val="32"/>
      </w:numPr>
      <w:autoSpaceDE w:val="0"/>
      <w:autoSpaceDN w:val="0"/>
      <w:adjustRightInd w:val="0"/>
      <w:outlineLvl w:val="2"/>
    </w:pPr>
  </w:style>
  <w:style w:type="paragraph" w:customStyle="1" w:styleId="Level4">
    <w:name w:val="Level 4"/>
    <w:basedOn w:val="Standard"/>
    <w:pPr>
      <w:widowControl w:val="0"/>
      <w:numPr>
        <w:ilvl w:val="3"/>
        <w:numId w:val="32"/>
      </w:numPr>
      <w:autoSpaceDE w:val="0"/>
      <w:autoSpaceDN w:val="0"/>
      <w:adjustRightInd w:val="0"/>
      <w:outlineLvl w:val="3"/>
    </w:pPr>
  </w:style>
  <w:style w:type="paragraph" w:customStyle="1" w:styleId="ListemitEinzug">
    <w:name w:val="Liste mit Einzug"/>
    <w:basedOn w:val="Standard"/>
    <w:pPr>
      <w:numPr>
        <w:numId w:val="34"/>
      </w:numPr>
    </w:pPr>
  </w:style>
  <w:style w:type="character" w:styleId="Seitenzahl">
    <w:name w:val="page number"/>
    <w:rPr>
      <w:rFonts w:ascii="Arial" w:hAnsi="Arial"/>
      <w:b/>
      <w:dstrike w:val="0"/>
      <w:color w:val="auto"/>
      <w:sz w:val="18"/>
      <w:vertAlign w:val="baseline"/>
    </w:rPr>
  </w:style>
  <w:style w:type="paragraph" w:customStyle="1" w:styleId="Tabelle">
    <w:name w:val="Tabelle"/>
    <w:basedOn w:val="Standard"/>
    <w:next w:val="Standard"/>
    <w:pPr>
      <w:keepNext/>
      <w:keepLines/>
    </w:pPr>
  </w:style>
  <w:style w:type="paragraph" w:customStyle="1" w:styleId="Tabellenberschrift">
    <w:name w:val="Tabellenüberschrift"/>
    <w:basedOn w:val="Standard"/>
    <w:pPr>
      <w:keepNext/>
      <w:keepLines/>
      <w:tabs>
        <w:tab w:val="left" w:pos="1134"/>
      </w:tabs>
      <w:spacing w:before="240"/>
      <w:ind w:left="1134" w:hanging="1134"/>
    </w:pPr>
    <w:rPr>
      <w:b/>
      <w:sz w:val="18"/>
    </w:rPr>
  </w:style>
  <w:style w:type="paragraph" w:styleId="Textkrper-Zeileneinzug">
    <w:name w:val="Body Text Indent"/>
    <w:basedOn w:val="Standard"/>
    <w:pPr>
      <w:tabs>
        <w:tab w:val="left" w:pos="1843"/>
      </w:tabs>
      <w:ind w:left="851"/>
    </w:pPr>
  </w:style>
  <w:style w:type="paragraph" w:styleId="Verzeichnis1">
    <w:name w:val="toc 1"/>
    <w:basedOn w:val="Standard"/>
    <w:next w:val="Standard"/>
    <w:autoRedefine/>
    <w:semiHidden/>
    <w:pPr>
      <w:spacing w:line="312" w:lineRule="atLeast"/>
      <w:jc w:val="both"/>
    </w:pPr>
  </w:style>
  <w:style w:type="paragraph" w:customStyle="1" w:styleId="Verfgungspunkt">
    <w:name w:val="Verfügungspunkt"/>
    <w:basedOn w:val="Standard"/>
    <w:autoRedefine/>
    <w:pPr>
      <w:ind w:hanging="709"/>
    </w:pPr>
  </w:style>
  <w:style w:type="paragraph" w:styleId="Verzeichnis2">
    <w:name w:val="toc 2"/>
    <w:basedOn w:val="Standard"/>
    <w:next w:val="Standard"/>
    <w:autoRedefine/>
    <w:semiHidden/>
    <w:pPr>
      <w:spacing w:line="312" w:lineRule="atLeast"/>
      <w:ind w:left="238"/>
      <w:jc w:val="both"/>
    </w:pPr>
  </w:style>
  <w:style w:type="paragraph" w:styleId="Verzeichnis3">
    <w:name w:val="toc 3"/>
    <w:basedOn w:val="Standard"/>
    <w:next w:val="Standard"/>
    <w:autoRedefine/>
    <w:semiHidden/>
    <w:pPr>
      <w:spacing w:line="312" w:lineRule="atLeast"/>
      <w:ind w:left="480"/>
      <w:jc w:val="both"/>
    </w:pPr>
  </w:style>
  <w:style w:type="paragraph" w:styleId="Verzeichnis4">
    <w:name w:val="toc 4"/>
    <w:basedOn w:val="Standard"/>
    <w:next w:val="Standard"/>
    <w:autoRedefine/>
    <w:semiHidden/>
    <w:pPr>
      <w:spacing w:line="312" w:lineRule="atLeast"/>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7436</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Landesjugendamt Rheinland</vt:lpstr>
    </vt:vector>
  </TitlesOfParts>
  <Company>Landschaftsverband Rheinland</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Landesjugendamt Rheinland</dc:title>
  <dc:creator>InfoKom</dc:creator>
  <cp:lastModifiedBy>Faryn, Nils</cp:lastModifiedBy>
  <cp:revision>3</cp:revision>
  <cp:lastPrinted>2018-08-30T05:47:00Z</cp:lastPrinted>
  <dcterms:created xsi:type="dcterms:W3CDTF">2021-08-31T06:53:00Z</dcterms:created>
  <dcterms:modified xsi:type="dcterms:W3CDTF">2021-08-31T06:54:00Z</dcterms:modified>
</cp:coreProperties>
</file>